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1A" w:rsidRPr="0082021A" w:rsidRDefault="0082021A" w:rsidP="0082021A">
      <w:pPr>
        <w:spacing w:after="0" w:line="240" w:lineRule="auto"/>
        <w:jc w:val="center"/>
        <w:rPr>
          <w:rFonts w:ascii="Arial" w:hAnsi="Arial" w:cs="Arial"/>
          <w:b/>
          <w:sz w:val="28"/>
        </w:rPr>
      </w:pPr>
      <w:r w:rsidRPr="0082021A">
        <w:rPr>
          <w:rFonts w:ascii="Arial" w:hAnsi="Arial" w:cs="Arial"/>
          <w:b/>
          <w:sz w:val="28"/>
        </w:rPr>
        <w:t>АНАЛІЗ РЕГУЛЯТОРНОГО ВПЛИВУ</w:t>
      </w:r>
    </w:p>
    <w:p w:rsidR="0082021A" w:rsidRDefault="0082021A" w:rsidP="0082021A">
      <w:pPr>
        <w:spacing w:after="0" w:line="240" w:lineRule="auto"/>
        <w:jc w:val="center"/>
        <w:rPr>
          <w:rFonts w:ascii="Arial" w:hAnsi="Arial" w:cs="Arial"/>
          <w:b/>
          <w:sz w:val="28"/>
        </w:rPr>
      </w:pPr>
      <w:proofErr w:type="spellStart"/>
      <w:r w:rsidRPr="0082021A">
        <w:rPr>
          <w:rFonts w:ascii="Arial" w:hAnsi="Arial" w:cs="Arial"/>
          <w:b/>
          <w:sz w:val="28"/>
        </w:rPr>
        <w:t>Проєкту</w:t>
      </w:r>
      <w:proofErr w:type="spellEnd"/>
      <w:r w:rsidRPr="0082021A">
        <w:rPr>
          <w:rFonts w:ascii="Arial" w:hAnsi="Arial" w:cs="Arial"/>
          <w:b/>
          <w:sz w:val="28"/>
        </w:rPr>
        <w:t xml:space="preserve"> ухвали Львівської міської ради</w:t>
      </w:r>
      <w:r>
        <w:rPr>
          <w:rFonts w:ascii="Arial" w:hAnsi="Arial" w:cs="Arial"/>
          <w:b/>
          <w:sz w:val="28"/>
        </w:rPr>
        <w:t xml:space="preserve"> «</w:t>
      </w:r>
      <w:r w:rsidRPr="0082021A">
        <w:rPr>
          <w:rFonts w:ascii="Arial" w:hAnsi="Arial" w:cs="Arial"/>
          <w:b/>
          <w:sz w:val="28"/>
        </w:rPr>
        <w:t>Про внесення змін до ухвали місь</w:t>
      </w:r>
      <w:r>
        <w:rPr>
          <w:rFonts w:ascii="Arial" w:hAnsi="Arial" w:cs="Arial"/>
          <w:b/>
          <w:sz w:val="28"/>
        </w:rPr>
        <w:t>кої ради від 30.06.2022 № 2155 «</w:t>
      </w:r>
      <w:r w:rsidRPr="0082021A">
        <w:rPr>
          <w:rFonts w:ascii="Arial" w:hAnsi="Arial" w:cs="Arial"/>
          <w:b/>
          <w:sz w:val="28"/>
        </w:rPr>
        <w:t>Про затвердження Положення про встановлення зарядних станцій для електротранспорту на території Львівської</w:t>
      </w:r>
      <w:r>
        <w:rPr>
          <w:rFonts w:ascii="Arial" w:hAnsi="Arial" w:cs="Arial"/>
          <w:b/>
          <w:sz w:val="28"/>
        </w:rPr>
        <w:t xml:space="preserve"> міської територіальної громади»</w:t>
      </w:r>
      <w:r w:rsidRPr="0082021A">
        <w:rPr>
          <w:rFonts w:ascii="Arial" w:hAnsi="Arial" w:cs="Arial"/>
          <w:b/>
          <w:sz w:val="28"/>
        </w:rPr>
        <w:tab/>
      </w:r>
    </w:p>
    <w:p w:rsidR="0082021A" w:rsidRDefault="0082021A" w:rsidP="0082021A">
      <w:pPr>
        <w:spacing w:after="0" w:line="240" w:lineRule="auto"/>
        <w:jc w:val="both"/>
        <w:rPr>
          <w:rFonts w:ascii="Arial" w:hAnsi="Arial" w:cs="Arial"/>
          <w:sz w:val="28"/>
        </w:rPr>
      </w:pPr>
      <w:r w:rsidRPr="0082021A">
        <w:rPr>
          <w:rFonts w:ascii="Arial" w:hAnsi="Arial" w:cs="Arial"/>
          <w:sz w:val="28"/>
        </w:rPr>
        <w:t xml:space="preserve">Аналіз регуляторного впливу розроблений на виконання вимог Закону України «Про засади державної регуляторної політики у сфері господарської діяльності» від 11.09.2003 № 1160-IV, Методики проведення аналізу впливу регуляторного акту, яка затверджена відповідно до постанови Кабінету Міністрів України від 11.03.2004 № 308 (зі змінами) та визначає правові і організаційні засади реалізації </w:t>
      </w:r>
      <w:proofErr w:type="spellStart"/>
      <w:r w:rsidRPr="0082021A">
        <w:rPr>
          <w:rFonts w:ascii="Arial" w:hAnsi="Arial" w:cs="Arial"/>
          <w:sz w:val="28"/>
        </w:rPr>
        <w:t>проєкту</w:t>
      </w:r>
      <w:proofErr w:type="spellEnd"/>
      <w:r w:rsidRPr="0082021A">
        <w:rPr>
          <w:rFonts w:ascii="Arial" w:hAnsi="Arial" w:cs="Arial"/>
          <w:sz w:val="28"/>
        </w:rPr>
        <w:t xml:space="preserve"> ухвали Львівської міської ради «Про внесення змін до ухвали міської ради від 30.06.2022 № 2155 «Про затвердження Положення про встановлення зарядних станцій для електротранспорту на території Львівської </w:t>
      </w:r>
      <w:r>
        <w:rPr>
          <w:rFonts w:ascii="Arial" w:hAnsi="Arial" w:cs="Arial"/>
          <w:sz w:val="28"/>
        </w:rPr>
        <w:t>міської територіальної громади»</w:t>
      </w:r>
      <w:r w:rsidRPr="0082021A">
        <w:rPr>
          <w:rFonts w:ascii="Arial" w:hAnsi="Arial" w:cs="Arial"/>
          <w:sz w:val="28"/>
        </w:rPr>
        <w:t>.</w:t>
      </w:r>
    </w:p>
    <w:p w:rsidR="0082021A" w:rsidRPr="0082021A" w:rsidRDefault="0082021A" w:rsidP="0082021A">
      <w:pPr>
        <w:spacing w:after="0" w:line="240" w:lineRule="auto"/>
        <w:jc w:val="both"/>
        <w:rPr>
          <w:rFonts w:ascii="Arial" w:hAnsi="Arial" w:cs="Arial"/>
          <w:b/>
          <w:sz w:val="28"/>
        </w:rPr>
      </w:pPr>
    </w:p>
    <w:p w:rsidR="0082021A" w:rsidRPr="0082021A" w:rsidRDefault="0082021A" w:rsidP="0082021A">
      <w:pPr>
        <w:spacing w:after="0" w:line="240" w:lineRule="auto"/>
        <w:jc w:val="both"/>
        <w:rPr>
          <w:rFonts w:ascii="Arial" w:hAnsi="Arial" w:cs="Arial"/>
          <w:b/>
          <w:sz w:val="28"/>
        </w:rPr>
      </w:pPr>
      <w:r w:rsidRPr="0082021A">
        <w:rPr>
          <w:rFonts w:ascii="Arial" w:hAnsi="Arial" w:cs="Arial"/>
          <w:b/>
          <w:sz w:val="28"/>
        </w:rPr>
        <w:t>1. Визначення проблеми, яку передбачається розв’язати шляхом прийняття регуляторного акту.</w:t>
      </w:r>
    </w:p>
    <w:p w:rsidR="0082021A" w:rsidRPr="0082021A" w:rsidRDefault="0082021A" w:rsidP="0082021A">
      <w:pPr>
        <w:spacing w:after="0" w:line="240" w:lineRule="auto"/>
        <w:jc w:val="both"/>
        <w:rPr>
          <w:rFonts w:ascii="Arial" w:hAnsi="Arial" w:cs="Arial"/>
          <w:sz w:val="28"/>
        </w:rPr>
      </w:pPr>
    </w:p>
    <w:p w:rsidR="0082021A" w:rsidRPr="0082021A" w:rsidRDefault="0082021A" w:rsidP="0082021A">
      <w:pPr>
        <w:spacing w:after="0" w:line="240" w:lineRule="auto"/>
        <w:jc w:val="both"/>
        <w:rPr>
          <w:rFonts w:ascii="Arial" w:hAnsi="Arial" w:cs="Arial"/>
          <w:sz w:val="28"/>
        </w:rPr>
      </w:pPr>
      <w:r w:rsidRPr="0082021A">
        <w:rPr>
          <w:rFonts w:ascii="Arial" w:hAnsi="Arial" w:cs="Arial"/>
          <w:sz w:val="28"/>
        </w:rPr>
        <w:t>Керуючись Законами України «Про місцеве самоврядування в Україні», «Про благоустрій населених пунктів</w:t>
      </w:r>
      <w:r w:rsidR="00BC3536" w:rsidRPr="0082021A">
        <w:rPr>
          <w:rFonts w:ascii="Arial" w:hAnsi="Arial" w:cs="Arial"/>
          <w:sz w:val="28"/>
        </w:rPr>
        <w:t>»</w:t>
      </w:r>
      <w:r w:rsidRPr="0082021A">
        <w:rPr>
          <w:rFonts w:ascii="Arial" w:hAnsi="Arial" w:cs="Arial"/>
          <w:sz w:val="28"/>
        </w:rPr>
        <w:t xml:space="preserve">, "Про автомобільний транспорт", "Про дорожній рух",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електромобілів",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82021A">
        <w:rPr>
          <w:rFonts w:ascii="Arial" w:hAnsi="Arial" w:cs="Arial"/>
          <w:sz w:val="28"/>
        </w:rPr>
        <w:t>електрозарядної</w:t>
      </w:r>
      <w:proofErr w:type="spellEnd"/>
      <w:r w:rsidRPr="0082021A">
        <w:rPr>
          <w:rFonts w:ascii="Arial" w:hAnsi="Arial" w:cs="Arial"/>
          <w:sz w:val="28"/>
        </w:rPr>
        <w:t xml:space="preserve"> інфраструктури та електричних транспортних засобів", з врахуванням постанов Кабінету Міністрів України від 10.10.2001 № 1306 "Про Правила дорожнього руху" та від 03.12.2009 № 1342 "Про затвердження Правил паркування транспортних засобів", з метою впровадження енергоефективних та екологічно безпечних технологій, підготовлено </w:t>
      </w:r>
      <w:proofErr w:type="spellStart"/>
      <w:r w:rsidRPr="0082021A">
        <w:rPr>
          <w:rFonts w:ascii="Arial" w:hAnsi="Arial" w:cs="Arial"/>
          <w:sz w:val="28"/>
        </w:rPr>
        <w:t>проєкт</w:t>
      </w:r>
      <w:proofErr w:type="spellEnd"/>
      <w:r w:rsidRPr="0082021A">
        <w:rPr>
          <w:rFonts w:ascii="Arial" w:hAnsi="Arial" w:cs="Arial"/>
          <w:sz w:val="28"/>
        </w:rPr>
        <w:t xml:space="preserve"> ухвали «Про внесення змін до ухвали міської ради від 30.06.2022 № 2155 «Про затвердження Положення про встановлення зарядних станцій для електротранспорту на території Львівської міської територіальної громади»</w:t>
      </w:r>
      <w:r w:rsidRPr="0082021A">
        <w:rPr>
          <w:rFonts w:ascii="Arial" w:hAnsi="Arial" w:cs="Arial"/>
          <w:sz w:val="28"/>
        </w:rPr>
        <w:tab/>
        <w:t>, який спрямований на встановлення єдиного порядку розміщення станцій зарядки електротранспорту на території Львівської міської територіальної громади.</w:t>
      </w:r>
    </w:p>
    <w:p w:rsidR="0082021A" w:rsidRDefault="0082021A" w:rsidP="0082021A">
      <w:pPr>
        <w:spacing w:after="0" w:line="240" w:lineRule="auto"/>
        <w:jc w:val="both"/>
        <w:rPr>
          <w:rFonts w:ascii="Arial" w:hAnsi="Arial" w:cs="Arial"/>
          <w:sz w:val="28"/>
        </w:rPr>
      </w:pPr>
      <w:r w:rsidRPr="0082021A">
        <w:rPr>
          <w:rFonts w:ascii="Arial" w:hAnsi="Arial" w:cs="Arial"/>
          <w:sz w:val="28"/>
        </w:rPr>
        <w:t xml:space="preserve">Прийняття ухвали </w:t>
      </w:r>
      <w:r w:rsidR="0031262E" w:rsidRPr="0031262E">
        <w:rPr>
          <w:rFonts w:ascii="Arial" w:hAnsi="Arial" w:cs="Arial"/>
          <w:sz w:val="28"/>
        </w:rPr>
        <w:t xml:space="preserve">«Про внесення змін до ухвали міської ради від 30.06.2022 № 2155 «Про затвердження Положення про встановлення зарядних станцій для електротранспорту на території Львівської </w:t>
      </w:r>
      <w:r w:rsidR="0031262E">
        <w:rPr>
          <w:rFonts w:ascii="Arial" w:hAnsi="Arial" w:cs="Arial"/>
          <w:sz w:val="28"/>
        </w:rPr>
        <w:t>міської територіальної громади» впровадить конкурсні засади для визначення найкращого суб’єкта</w:t>
      </w:r>
      <w:r w:rsidR="0031262E" w:rsidRPr="0031262E">
        <w:rPr>
          <w:rFonts w:ascii="Arial" w:hAnsi="Arial" w:cs="Arial"/>
          <w:sz w:val="28"/>
        </w:rPr>
        <w:t>, що здійснюватиме облаштування та обслуговування станції зарядки електротранспорту</w:t>
      </w:r>
      <w:r w:rsidR="0031262E">
        <w:rPr>
          <w:rFonts w:ascii="Arial" w:hAnsi="Arial" w:cs="Arial"/>
          <w:sz w:val="28"/>
        </w:rPr>
        <w:t xml:space="preserve"> та </w:t>
      </w:r>
      <w:r w:rsidRPr="0082021A">
        <w:rPr>
          <w:rFonts w:ascii="Arial" w:hAnsi="Arial" w:cs="Arial"/>
          <w:sz w:val="28"/>
        </w:rPr>
        <w:t xml:space="preserve">стане інструментом для покращення екологічної ситуації міста, </w:t>
      </w:r>
      <w:proofErr w:type="spellStart"/>
      <w:r w:rsidRPr="0082021A">
        <w:rPr>
          <w:rFonts w:ascii="Arial" w:hAnsi="Arial" w:cs="Arial"/>
          <w:sz w:val="28"/>
        </w:rPr>
        <w:t>надасть</w:t>
      </w:r>
      <w:proofErr w:type="spellEnd"/>
      <w:r w:rsidRPr="0082021A">
        <w:rPr>
          <w:rFonts w:ascii="Arial" w:hAnsi="Arial" w:cs="Arial"/>
          <w:sz w:val="28"/>
        </w:rPr>
        <w:t xml:space="preserve"> можливість </w:t>
      </w:r>
      <w:r w:rsidRPr="0082021A">
        <w:rPr>
          <w:rFonts w:ascii="Arial" w:hAnsi="Arial" w:cs="Arial"/>
          <w:sz w:val="28"/>
        </w:rPr>
        <w:lastRenderedPageBreak/>
        <w:t>впроваджувати інноваційні рішення, а також врегулює питання обладнання місць для паркування з метою зарядки електротранспорту.</w:t>
      </w:r>
    </w:p>
    <w:p w:rsidR="0031262E" w:rsidRDefault="0031262E" w:rsidP="0082021A">
      <w:pPr>
        <w:spacing w:after="0" w:line="240" w:lineRule="auto"/>
        <w:jc w:val="both"/>
        <w:rPr>
          <w:rFonts w:ascii="Arial" w:hAnsi="Arial" w:cs="Arial"/>
          <w:sz w:val="28"/>
        </w:rPr>
      </w:pPr>
    </w:p>
    <w:p w:rsidR="0031262E" w:rsidRPr="0031262E" w:rsidRDefault="0031262E" w:rsidP="0031262E">
      <w:pPr>
        <w:spacing w:after="0" w:line="240" w:lineRule="auto"/>
        <w:jc w:val="both"/>
        <w:rPr>
          <w:rFonts w:ascii="Arial" w:hAnsi="Arial" w:cs="Arial"/>
          <w:b/>
          <w:sz w:val="28"/>
        </w:rPr>
      </w:pPr>
      <w:r w:rsidRPr="0031262E">
        <w:rPr>
          <w:rFonts w:ascii="Arial" w:hAnsi="Arial" w:cs="Arial"/>
          <w:b/>
          <w:sz w:val="28"/>
        </w:rPr>
        <w:t>2. Цілі державного регулювання.</w:t>
      </w:r>
    </w:p>
    <w:p w:rsidR="0031262E" w:rsidRPr="0031262E" w:rsidRDefault="0031262E" w:rsidP="0031262E">
      <w:pPr>
        <w:spacing w:after="0" w:line="240" w:lineRule="auto"/>
        <w:jc w:val="both"/>
        <w:rPr>
          <w:rFonts w:ascii="Arial" w:hAnsi="Arial" w:cs="Arial"/>
          <w:sz w:val="28"/>
        </w:rPr>
      </w:pPr>
    </w:p>
    <w:p w:rsidR="0031262E" w:rsidRPr="0031262E" w:rsidRDefault="0031262E" w:rsidP="0031262E">
      <w:pPr>
        <w:spacing w:after="0" w:line="240" w:lineRule="auto"/>
        <w:jc w:val="both"/>
        <w:rPr>
          <w:rFonts w:ascii="Arial" w:hAnsi="Arial" w:cs="Arial"/>
          <w:sz w:val="28"/>
        </w:rPr>
      </w:pPr>
      <w:r>
        <w:rPr>
          <w:rFonts w:ascii="Arial" w:hAnsi="Arial" w:cs="Arial"/>
          <w:sz w:val="28"/>
        </w:rPr>
        <w:t>П</w:t>
      </w:r>
      <w:r w:rsidRPr="0031262E">
        <w:rPr>
          <w:rFonts w:ascii="Arial" w:hAnsi="Arial" w:cs="Arial"/>
          <w:sz w:val="28"/>
        </w:rPr>
        <w:t>рийняття</w:t>
      </w:r>
      <w:r>
        <w:rPr>
          <w:rFonts w:ascii="Arial" w:hAnsi="Arial" w:cs="Arial"/>
          <w:sz w:val="28"/>
        </w:rPr>
        <w:t xml:space="preserve"> змін до</w:t>
      </w:r>
      <w:r w:rsidRPr="0031262E">
        <w:rPr>
          <w:rFonts w:ascii="Arial" w:hAnsi="Arial" w:cs="Arial"/>
          <w:sz w:val="28"/>
        </w:rPr>
        <w:t xml:space="preserve"> Положення про встановлення зарядних станцій для електротранспорту на території Львівської міської територіальної громади має на меті врегулювання таких питань, як:</w:t>
      </w:r>
    </w:p>
    <w:p w:rsidR="0031262E" w:rsidRPr="0031262E" w:rsidRDefault="0031262E" w:rsidP="0031262E">
      <w:pPr>
        <w:spacing w:after="0" w:line="240" w:lineRule="auto"/>
        <w:jc w:val="both"/>
        <w:rPr>
          <w:rFonts w:ascii="Arial" w:hAnsi="Arial" w:cs="Arial"/>
          <w:sz w:val="28"/>
        </w:rPr>
      </w:pPr>
      <w:r w:rsidRPr="0031262E">
        <w:rPr>
          <w:rFonts w:ascii="Arial" w:hAnsi="Arial" w:cs="Arial"/>
          <w:sz w:val="28"/>
        </w:rPr>
        <w:t>● порядок розміщення станцій зарядки електротранспорту на території Львівської міської територіальної громади;</w:t>
      </w:r>
    </w:p>
    <w:p w:rsidR="0031262E" w:rsidRPr="0031262E" w:rsidRDefault="0031262E" w:rsidP="0031262E">
      <w:pPr>
        <w:spacing w:after="0" w:line="240" w:lineRule="auto"/>
        <w:jc w:val="both"/>
        <w:rPr>
          <w:rFonts w:ascii="Arial" w:hAnsi="Arial" w:cs="Arial"/>
          <w:sz w:val="28"/>
        </w:rPr>
      </w:pPr>
      <w:r w:rsidRPr="0031262E">
        <w:rPr>
          <w:rFonts w:ascii="Arial" w:hAnsi="Arial" w:cs="Arial"/>
          <w:sz w:val="28"/>
        </w:rPr>
        <w:t>● визначення та вимоги до суб’єкта, що здійснюватиме облаштування та обслуговування станції зарядки електротранспорту;</w:t>
      </w:r>
    </w:p>
    <w:p w:rsidR="0031262E" w:rsidRDefault="0031262E" w:rsidP="0031262E">
      <w:pPr>
        <w:spacing w:after="0" w:line="240" w:lineRule="auto"/>
        <w:jc w:val="both"/>
        <w:rPr>
          <w:rFonts w:ascii="Arial" w:hAnsi="Arial" w:cs="Arial"/>
          <w:sz w:val="28"/>
        </w:rPr>
      </w:pPr>
      <w:r w:rsidRPr="0031262E">
        <w:rPr>
          <w:rFonts w:ascii="Arial" w:hAnsi="Arial" w:cs="Arial"/>
          <w:sz w:val="28"/>
        </w:rPr>
        <w:t xml:space="preserve">● </w:t>
      </w:r>
      <w:r>
        <w:rPr>
          <w:rFonts w:ascii="Arial" w:hAnsi="Arial" w:cs="Arial"/>
          <w:sz w:val="28"/>
        </w:rPr>
        <w:t xml:space="preserve">запровадження конкурсної процедури для визначення найкращого </w:t>
      </w:r>
      <w:r w:rsidRPr="0031262E">
        <w:rPr>
          <w:rFonts w:ascii="Arial" w:hAnsi="Arial" w:cs="Arial"/>
          <w:sz w:val="28"/>
        </w:rPr>
        <w:t>суб’єкта, що здійснюватиме облаштування та обслуговування ста</w:t>
      </w:r>
      <w:r>
        <w:rPr>
          <w:rFonts w:ascii="Arial" w:hAnsi="Arial" w:cs="Arial"/>
          <w:sz w:val="28"/>
        </w:rPr>
        <w:t>нції зарядки електротранспорту</w:t>
      </w:r>
      <w:r w:rsidRPr="0031262E">
        <w:rPr>
          <w:rFonts w:ascii="Arial" w:hAnsi="Arial" w:cs="Arial"/>
          <w:sz w:val="28"/>
        </w:rPr>
        <w:t>.</w:t>
      </w:r>
    </w:p>
    <w:p w:rsidR="0031262E" w:rsidRDefault="0031262E" w:rsidP="0031262E">
      <w:pPr>
        <w:spacing w:after="0" w:line="240" w:lineRule="auto"/>
        <w:jc w:val="both"/>
        <w:rPr>
          <w:rFonts w:ascii="Arial" w:hAnsi="Arial" w:cs="Arial"/>
          <w:sz w:val="28"/>
        </w:rPr>
      </w:pPr>
    </w:p>
    <w:p w:rsidR="0031262E" w:rsidRPr="0031262E" w:rsidRDefault="0031262E" w:rsidP="0031262E">
      <w:pPr>
        <w:spacing w:after="0" w:line="240" w:lineRule="auto"/>
        <w:jc w:val="both"/>
        <w:rPr>
          <w:rFonts w:ascii="Arial" w:hAnsi="Arial" w:cs="Arial"/>
          <w:b/>
          <w:sz w:val="28"/>
        </w:rPr>
      </w:pPr>
      <w:r w:rsidRPr="0031262E">
        <w:rPr>
          <w:rFonts w:ascii="Arial" w:hAnsi="Arial" w:cs="Arial"/>
          <w:b/>
          <w:sz w:val="28"/>
        </w:rPr>
        <w:t>3. Визначення та оцінка альтернативних способів досягнення зазначених цілей:</w:t>
      </w:r>
    </w:p>
    <w:p w:rsidR="0031262E" w:rsidRPr="0031262E" w:rsidRDefault="0031262E" w:rsidP="0031262E">
      <w:pPr>
        <w:spacing w:after="0" w:line="240" w:lineRule="auto"/>
        <w:jc w:val="both"/>
        <w:rPr>
          <w:rFonts w:ascii="Arial" w:hAnsi="Arial" w:cs="Arial"/>
          <w:sz w:val="28"/>
        </w:rPr>
      </w:pPr>
    </w:p>
    <w:p w:rsidR="0031262E" w:rsidRDefault="0031262E" w:rsidP="0031262E">
      <w:pPr>
        <w:spacing w:after="0" w:line="240" w:lineRule="auto"/>
        <w:jc w:val="both"/>
        <w:rPr>
          <w:rFonts w:ascii="Arial" w:hAnsi="Arial" w:cs="Arial"/>
          <w:sz w:val="28"/>
        </w:rPr>
      </w:pPr>
      <w:r w:rsidRPr="0031262E">
        <w:rPr>
          <w:rFonts w:ascii="Arial" w:hAnsi="Arial" w:cs="Arial"/>
          <w:sz w:val="28"/>
        </w:rPr>
        <w:t>3.1.Визначення альтернативних способів.</w:t>
      </w:r>
    </w:p>
    <w:p w:rsidR="0031262E" w:rsidRDefault="0031262E" w:rsidP="0031262E">
      <w:pPr>
        <w:spacing w:after="0" w:line="240" w:lineRule="auto"/>
        <w:jc w:val="both"/>
        <w:rPr>
          <w:rFonts w:ascii="Arial" w:hAnsi="Arial" w:cs="Arial"/>
          <w:sz w:val="28"/>
        </w:rPr>
      </w:pPr>
    </w:p>
    <w:tbl>
      <w:tblPr>
        <w:tblStyle w:val="a3"/>
        <w:tblW w:w="0" w:type="auto"/>
        <w:tblLook w:val="04A0" w:firstRow="1" w:lastRow="0" w:firstColumn="1" w:lastColumn="0" w:noHBand="0" w:noVBand="1"/>
      </w:tblPr>
      <w:tblGrid>
        <w:gridCol w:w="2689"/>
        <w:gridCol w:w="6940"/>
      </w:tblGrid>
      <w:tr w:rsidR="0031262E" w:rsidTr="0031262E">
        <w:tc>
          <w:tcPr>
            <w:tcW w:w="2689" w:type="dxa"/>
          </w:tcPr>
          <w:p w:rsidR="0031262E" w:rsidRDefault="0031262E" w:rsidP="0031262E">
            <w:pPr>
              <w:jc w:val="both"/>
              <w:rPr>
                <w:rFonts w:ascii="Arial" w:hAnsi="Arial" w:cs="Arial"/>
                <w:sz w:val="28"/>
              </w:rPr>
            </w:pPr>
            <w:r w:rsidRPr="0031262E">
              <w:rPr>
                <w:rFonts w:ascii="Arial" w:hAnsi="Arial" w:cs="Arial"/>
                <w:sz w:val="28"/>
              </w:rPr>
              <w:t>Альтернатива 1</w:t>
            </w:r>
          </w:p>
        </w:tc>
        <w:tc>
          <w:tcPr>
            <w:tcW w:w="6940" w:type="dxa"/>
          </w:tcPr>
          <w:p w:rsidR="00A17A51" w:rsidRDefault="0031262E" w:rsidP="0031262E">
            <w:pPr>
              <w:rPr>
                <w:rFonts w:ascii="Arial" w:eastAsia="Times New Roman" w:hAnsi="Arial" w:cs="Arial"/>
                <w:color w:val="000000"/>
                <w:sz w:val="27"/>
                <w:szCs w:val="27"/>
                <w:shd w:val="clear" w:color="auto" w:fill="FFFFFF"/>
                <w:lang w:eastAsia="uk-UA"/>
              </w:rPr>
            </w:pPr>
            <w:r w:rsidRPr="0031262E">
              <w:rPr>
                <w:rFonts w:ascii="Arial" w:eastAsia="Times New Roman" w:hAnsi="Arial" w:cs="Arial"/>
                <w:color w:val="000000"/>
                <w:sz w:val="27"/>
                <w:szCs w:val="27"/>
                <w:shd w:val="clear" w:color="auto" w:fill="FFFFFF"/>
                <w:lang w:eastAsia="uk-UA"/>
              </w:rPr>
              <w:t>Ситуацію з розміщенням станцій для зарядки електротранспорту у Львівській міській територіальній громаді залишити без змін.</w:t>
            </w:r>
            <w:r w:rsidRPr="0031262E">
              <w:rPr>
                <w:rFonts w:ascii="Times New Roman" w:eastAsia="Times New Roman" w:hAnsi="Times New Roman" w:cs="Times New Roman"/>
                <w:color w:val="000000"/>
                <w:sz w:val="27"/>
                <w:szCs w:val="27"/>
                <w:lang w:eastAsia="uk-UA"/>
              </w:rPr>
              <w:br/>
            </w:r>
            <w:r w:rsidRPr="0031262E">
              <w:rPr>
                <w:rFonts w:ascii="Arial" w:eastAsia="Times New Roman" w:hAnsi="Arial" w:cs="Arial"/>
                <w:b/>
                <w:bCs/>
                <w:color w:val="000000"/>
                <w:sz w:val="27"/>
                <w:szCs w:val="27"/>
                <w:shd w:val="clear" w:color="auto" w:fill="FFFFFF"/>
                <w:lang w:eastAsia="uk-UA"/>
              </w:rPr>
              <w:t>Переваги:</w:t>
            </w:r>
            <w:r w:rsidRPr="0031262E">
              <w:rPr>
                <w:rFonts w:ascii="Arial" w:eastAsia="Times New Roman" w:hAnsi="Arial" w:cs="Arial"/>
                <w:color w:val="000000"/>
                <w:sz w:val="27"/>
                <w:szCs w:val="27"/>
                <w:shd w:val="clear" w:color="auto" w:fill="FFFFFF"/>
                <w:lang w:eastAsia="uk-UA"/>
              </w:rPr>
              <w:t> відсутні</w:t>
            </w:r>
          </w:p>
          <w:p w:rsidR="0031262E" w:rsidRPr="0031262E" w:rsidRDefault="0031262E" w:rsidP="0031262E">
            <w:pPr>
              <w:rPr>
                <w:rFonts w:ascii="Times New Roman" w:eastAsia="Times New Roman" w:hAnsi="Times New Roman" w:cs="Times New Roman"/>
                <w:sz w:val="24"/>
                <w:szCs w:val="24"/>
                <w:lang w:eastAsia="uk-UA"/>
              </w:rPr>
            </w:pPr>
            <w:r w:rsidRPr="0031262E">
              <w:rPr>
                <w:rFonts w:ascii="Times New Roman" w:eastAsia="Times New Roman" w:hAnsi="Times New Roman" w:cs="Times New Roman"/>
                <w:color w:val="000000"/>
                <w:sz w:val="27"/>
                <w:szCs w:val="27"/>
                <w:lang w:eastAsia="uk-UA"/>
              </w:rPr>
              <w:br/>
            </w:r>
            <w:r w:rsidRPr="0031262E">
              <w:rPr>
                <w:rFonts w:ascii="Arial" w:eastAsia="Times New Roman" w:hAnsi="Arial" w:cs="Arial"/>
                <w:b/>
                <w:bCs/>
                <w:color w:val="000000"/>
                <w:sz w:val="27"/>
                <w:szCs w:val="27"/>
                <w:shd w:val="clear" w:color="auto" w:fill="FFFFFF"/>
                <w:lang w:eastAsia="uk-UA"/>
              </w:rPr>
              <w:t>Недоліки:</w:t>
            </w:r>
          </w:p>
          <w:p w:rsidR="0031262E" w:rsidRDefault="0031262E" w:rsidP="00A17A51">
            <w:pPr>
              <w:shd w:val="clear" w:color="auto" w:fill="FFFFFF"/>
              <w:ind w:left="720"/>
              <w:rPr>
                <w:rFonts w:ascii="Arial" w:eastAsia="Times New Roman" w:hAnsi="Arial" w:cs="Arial"/>
                <w:color w:val="000000"/>
                <w:sz w:val="27"/>
                <w:szCs w:val="27"/>
                <w:lang w:eastAsia="uk-UA"/>
              </w:rPr>
            </w:pPr>
            <w:r w:rsidRPr="0031262E">
              <w:rPr>
                <w:rFonts w:ascii="Times New Roman" w:eastAsia="Times New Roman" w:hAnsi="Times New Roman" w:cs="Times New Roman"/>
                <w:color w:val="000000"/>
                <w:sz w:val="27"/>
                <w:szCs w:val="27"/>
                <w:lang w:eastAsia="uk-UA"/>
              </w:rPr>
              <w:t>- </w:t>
            </w:r>
            <w:r w:rsidR="00A17A51">
              <w:rPr>
                <w:rFonts w:ascii="Arial" w:eastAsia="Times New Roman" w:hAnsi="Arial" w:cs="Arial"/>
                <w:color w:val="000000"/>
                <w:sz w:val="27"/>
                <w:szCs w:val="27"/>
                <w:lang w:eastAsia="uk-UA"/>
              </w:rPr>
              <w:t>н</w:t>
            </w:r>
            <w:r w:rsidR="00A17A51" w:rsidRPr="00A17A51">
              <w:rPr>
                <w:rFonts w:ascii="Arial" w:eastAsia="Times New Roman" w:hAnsi="Arial" w:cs="Arial"/>
                <w:color w:val="000000"/>
                <w:sz w:val="27"/>
                <w:szCs w:val="27"/>
                <w:lang w:eastAsia="uk-UA"/>
              </w:rPr>
              <w:t>епрозорість та підвищені корупційні ризики</w:t>
            </w:r>
            <w:r w:rsidRPr="0031262E">
              <w:rPr>
                <w:rFonts w:ascii="Arial" w:eastAsia="Times New Roman" w:hAnsi="Arial" w:cs="Arial"/>
                <w:color w:val="000000"/>
                <w:sz w:val="27"/>
                <w:szCs w:val="27"/>
                <w:lang w:eastAsia="uk-UA"/>
              </w:rPr>
              <w:t>;</w:t>
            </w:r>
            <w:r w:rsidRPr="0031262E">
              <w:rPr>
                <w:rFonts w:ascii="Times New Roman" w:eastAsia="Times New Roman" w:hAnsi="Times New Roman" w:cs="Times New Roman"/>
                <w:color w:val="000000"/>
                <w:sz w:val="27"/>
                <w:szCs w:val="27"/>
                <w:lang w:eastAsia="uk-UA"/>
              </w:rPr>
              <w:br/>
              <w:t>- </w:t>
            </w:r>
            <w:r w:rsidR="00A17A51">
              <w:rPr>
                <w:rFonts w:ascii="Arial" w:eastAsia="Times New Roman" w:hAnsi="Arial" w:cs="Arial"/>
                <w:color w:val="000000"/>
                <w:sz w:val="27"/>
                <w:szCs w:val="27"/>
                <w:lang w:eastAsia="uk-UA"/>
              </w:rPr>
              <w:t>в</w:t>
            </w:r>
            <w:r w:rsidR="00A17A51" w:rsidRPr="00A17A51">
              <w:rPr>
                <w:rFonts w:ascii="Arial" w:eastAsia="Times New Roman" w:hAnsi="Arial" w:cs="Arial"/>
                <w:color w:val="000000"/>
                <w:sz w:val="27"/>
                <w:szCs w:val="27"/>
                <w:lang w:eastAsia="uk-UA"/>
              </w:rPr>
              <w:t>ідсутність конкуренції за якість</w:t>
            </w:r>
            <w:r w:rsidRPr="0031262E">
              <w:rPr>
                <w:rFonts w:ascii="Arial" w:eastAsia="Times New Roman" w:hAnsi="Arial" w:cs="Arial"/>
                <w:color w:val="000000"/>
                <w:sz w:val="27"/>
                <w:szCs w:val="27"/>
                <w:lang w:eastAsia="uk-UA"/>
              </w:rPr>
              <w:t>;</w:t>
            </w:r>
            <w:r w:rsidRPr="0031262E">
              <w:rPr>
                <w:rFonts w:ascii="Times New Roman" w:eastAsia="Times New Roman" w:hAnsi="Times New Roman" w:cs="Times New Roman"/>
                <w:color w:val="000000"/>
                <w:sz w:val="27"/>
                <w:szCs w:val="27"/>
                <w:lang w:eastAsia="uk-UA"/>
              </w:rPr>
              <w:br/>
              <w:t>- </w:t>
            </w:r>
            <w:r w:rsidR="00A17A51">
              <w:rPr>
                <w:rFonts w:ascii="Arial" w:eastAsia="Times New Roman" w:hAnsi="Arial" w:cs="Arial"/>
                <w:color w:val="000000"/>
                <w:sz w:val="27"/>
                <w:szCs w:val="27"/>
                <w:lang w:eastAsia="uk-UA"/>
              </w:rPr>
              <w:t>х</w:t>
            </w:r>
            <w:r w:rsidR="00A17A51" w:rsidRPr="00A17A51">
              <w:rPr>
                <w:rFonts w:ascii="Arial" w:eastAsia="Times New Roman" w:hAnsi="Arial" w:cs="Arial"/>
                <w:color w:val="000000"/>
                <w:sz w:val="27"/>
                <w:szCs w:val="27"/>
                <w:lang w:eastAsia="uk-UA"/>
              </w:rPr>
              <w:t>аотичний розвиток інфраструктури</w:t>
            </w:r>
            <w:r w:rsidRPr="0031262E">
              <w:rPr>
                <w:rFonts w:ascii="Arial" w:eastAsia="Times New Roman" w:hAnsi="Arial" w:cs="Arial"/>
                <w:color w:val="000000"/>
                <w:sz w:val="27"/>
                <w:szCs w:val="27"/>
                <w:lang w:eastAsia="uk-UA"/>
              </w:rPr>
              <w:t>.</w:t>
            </w:r>
          </w:p>
          <w:p w:rsidR="00A17A51" w:rsidRPr="00A17A51" w:rsidRDefault="00A17A51" w:rsidP="00A17A51">
            <w:pPr>
              <w:shd w:val="clear" w:color="auto" w:fill="FFFFFF"/>
              <w:rPr>
                <w:rFonts w:ascii="Arial" w:eastAsia="Times New Roman" w:hAnsi="Arial" w:cs="Arial"/>
                <w:color w:val="000000"/>
                <w:sz w:val="27"/>
                <w:szCs w:val="27"/>
                <w:lang w:eastAsia="uk-UA"/>
              </w:rPr>
            </w:pPr>
            <w:r w:rsidRPr="00A17A51">
              <w:rPr>
                <w:rFonts w:ascii="Arial" w:eastAsia="Times New Roman" w:hAnsi="Arial" w:cs="Arial"/>
                <w:color w:val="000000"/>
                <w:sz w:val="27"/>
                <w:szCs w:val="27"/>
                <w:lang w:eastAsia="uk-UA"/>
              </w:rPr>
              <w:t>Альтернатива є неприйнятною.</w:t>
            </w:r>
          </w:p>
        </w:tc>
      </w:tr>
      <w:tr w:rsidR="0031262E" w:rsidTr="0031262E">
        <w:tc>
          <w:tcPr>
            <w:tcW w:w="2689" w:type="dxa"/>
          </w:tcPr>
          <w:p w:rsidR="0031262E" w:rsidRDefault="0031262E" w:rsidP="0031262E">
            <w:pPr>
              <w:jc w:val="both"/>
              <w:rPr>
                <w:rFonts w:ascii="Arial" w:hAnsi="Arial" w:cs="Arial"/>
                <w:sz w:val="28"/>
              </w:rPr>
            </w:pPr>
            <w:r w:rsidRPr="0031262E">
              <w:rPr>
                <w:rFonts w:ascii="Arial" w:hAnsi="Arial" w:cs="Arial"/>
                <w:sz w:val="28"/>
              </w:rPr>
              <w:t>Альтернатива 2</w:t>
            </w:r>
          </w:p>
        </w:tc>
        <w:tc>
          <w:tcPr>
            <w:tcW w:w="6940" w:type="dxa"/>
          </w:tcPr>
          <w:p w:rsidR="00A17A51" w:rsidRPr="00A17A51" w:rsidRDefault="00A17A51" w:rsidP="00A17A51">
            <w:pPr>
              <w:jc w:val="both"/>
              <w:rPr>
                <w:rFonts w:ascii="Arial" w:hAnsi="Arial" w:cs="Arial"/>
                <w:sz w:val="28"/>
              </w:rPr>
            </w:pPr>
            <w:r w:rsidRPr="00A17A51">
              <w:rPr>
                <w:rFonts w:ascii="Arial" w:hAnsi="Arial" w:cs="Arial"/>
                <w:sz w:val="28"/>
              </w:rPr>
              <w:t xml:space="preserve">Прийняття запропонованого </w:t>
            </w:r>
            <w:proofErr w:type="spellStart"/>
            <w:r w:rsidRPr="00A17A51">
              <w:rPr>
                <w:rFonts w:ascii="Arial" w:hAnsi="Arial" w:cs="Arial"/>
                <w:sz w:val="28"/>
              </w:rPr>
              <w:t>проєкту</w:t>
            </w:r>
            <w:proofErr w:type="spellEnd"/>
            <w:r w:rsidRPr="00A17A51">
              <w:rPr>
                <w:rFonts w:ascii="Arial" w:hAnsi="Arial" w:cs="Arial"/>
                <w:sz w:val="28"/>
              </w:rPr>
              <w:t xml:space="preserve"> ухвали.</w:t>
            </w:r>
          </w:p>
          <w:p w:rsidR="00A17A51" w:rsidRPr="00A17A51" w:rsidRDefault="00A17A51" w:rsidP="00A17A51">
            <w:pPr>
              <w:jc w:val="both"/>
              <w:rPr>
                <w:rFonts w:ascii="Arial" w:hAnsi="Arial" w:cs="Arial"/>
                <w:b/>
                <w:sz w:val="28"/>
              </w:rPr>
            </w:pPr>
            <w:r w:rsidRPr="00A17A51">
              <w:rPr>
                <w:rFonts w:ascii="Arial" w:hAnsi="Arial" w:cs="Arial"/>
                <w:b/>
                <w:sz w:val="28"/>
              </w:rPr>
              <w:t>Переваги:</w:t>
            </w:r>
          </w:p>
          <w:p w:rsidR="00A17A51" w:rsidRDefault="00A17A51" w:rsidP="00A17A51">
            <w:pPr>
              <w:shd w:val="clear" w:color="auto" w:fill="FFFFFF"/>
              <w:ind w:left="736"/>
              <w:rPr>
                <w:rFonts w:ascii="Times New Roman" w:eastAsia="Times New Roman" w:hAnsi="Times New Roman" w:cs="Times New Roman"/>
                <w:color w:val="000000"/>
                <w:sz w:val="27"/>
                <w:szCs w:val="27"/>
                <w:lang w:eastAsia="uk-UA"/>
              </w:rPr>
            </w:pPr>
            <w:r w:rsidRPr="0031262E">
              <w:rPr>
                <w:rFonts w:ascii="Times New Roman" w:eastAsia="Times New Roman" w:hAnsi="Times New Roman" w:cs="Times New Roman"/>
                <w:color w:val="000000"/>
                <w:sz w:val="27"/>
                <w:szCs w:val="27"/>
                <w:lang w:eastAsia="uk-UA"/>
              </w:rPr>
              <w:t>- </w:t>
            </w:r>
            <w:r>
              <w:rPr>
                <w:rFonts w:ascii="Arial" w:eastAsia="Times New Roman" w:hAnsi="Arial" w:cs="Arial"/>
                <w:color w:val="000000"/>
                <w:sz w:val="27"/>
                <w:szCs w:val="27"/>
                <w:lang w:eastAsia="uk-UA"/>
              </w:rPr>
              <w:t>прозорість та доброчесність</w:t>
            </w:r>
            <w:r w:rsidRPr="0031262E">
              <w:rPr>
                <w:rFonts w:ascii="Arial" w:eastAsia="Times New Roman" w:hAnsi="Arial" w:cs="Arial"/>
                <w:color w:val="000000"/>
                <w:sz w:val="27"/>
                <w:szCs w:val="27"/>
                <w:lang w:eastAsia="uk-UA"/>
              </w:rPr>
              <w:t>;</w:t>
            </w:r>
            <w:r w:rsidRPr="0031262E">
              <w:rPr>
                <w:rFonts w:ascii="Times New Roman" w:eastAsia="Times New Roman" w:hAnsi="Times New Roman" w:cs="Times New Roman"/>
                <w:color w:val="000000"/>
                <w:sz w:val="27"/>
                <w:szCs w:val="27"/>
                <w:lang w:eastAsia="uk-UA"/>
              </w:rPr>
              <w:br/>
              <w:t>- </w:t>
            </w:r>
            <w:r>
              <w:rPr>
                <w:rFonts w:ascii="Arial" w:eastAsia="Times New Roman" w:hAnsi="Arial" w:cs="Arial"/>
                <w:color w:val="000000"/>
                <w:sz w:val="27"/>
                <w:szCs w:val="27"/>
                <w:lang w:eastAsia="uk-UA"/>
              </w:rPr>
              <w:t>якість та інноваційні рішення</w:t>
            </w:r>
            <w:r w:rsidRPr="0031262E">
              <w:rPr>
                <w:rFonts w:ascii="Arial" w:eastAsia="Times New Roman" w:hAnsi="Arial" w:cs="Arial"/>
                <w:color w:val="000000"/>
                <w:sz w:val="27"/>
                <w:szCs w:val="27"/>
                <w:lang w:eastAsia="uk-UA"/>
              </w:rPr>
              <w:t>;</w:t>
            </w:r>
          </w:p>
          <w:p w:rsidR="00A17A51" w:rsidRDefault="00841D88" w:rsidP="00A17A51">
            <w:pPr>
              <w:shd w:val="clear" w:color="auto" w:fill="FFFFFF"/>
              <w:ind w:left="736"/>
              <w:rPr>
                <w:rFonts w:ascii="Arial" w:eastAsia="Times New Roman" w:hAnsi="Arial" w:cs="Arial"/>
                <w:color w:val="000000"/>
                <w:sz w:val="27"/>
                <w:szCs w:val="27"/>
                <w:lang w:eastAsia="uk-UA"/>
              </w:rPr>
            </w:pPr>
            <w:r>
              <w:rPr>
                <w:rFonts w:ascii="Times New Roman" w:eastAsia="Times New Roman" w:hAnsi="Times New Roman" w:cs="Times New Roman"/>
                <w:color w:val="000000"/>
                <w:sz w:val="27"/>
                <w:szCs w:val="27"/>
                <w:lang w:eastAsia="uk-UA"/>
              </w:rPr>
              <w:t>-</w:t>
            </w:r>
            <w:r w:rsidR="00A17A51" w:rsidRPr="0031262E">
              <w:rPr>
                <w:rFonts w:ascii="Times New Roman" w:eastAsia="Times New Roman" w:hAnsi="Times New Roman" w:cs="Times New Roman"/>
                <w:color w:val="000000"/>
                <w:sz w:val="27"/>
                <w:szCs w:val="27"/>
                <w:lang w:eastAsia="uk-UA"/>
              </w:rPr>
              <w:t> </w:t>
            </w:r>
            <w:r w:rsidR="00A17A51">
              <w:rPr>
                <w:rFonts w:ascii="Arial" w:eastAsia="Times New Roman" w:hAnsi="Arial" w:cs="Arial"/>
                <w:color w:val="000000"/>
                <w:sz w:val="27"/>
                <w:szCs w:val="27"/>
                <w:lang w:eastAsia="uk-UA"/>
              </w:rPr>
              <w:t>е</w:t>
            </w:r>
            <w:r w:rsidR="00A17A51" w:rsidRPr="00A17A51">
              <w:rPr>
                <w:rFonts w:ascii="Arial" w:eastAsia="Times New Roman" w:hAnsi="Arial" w:cs="Arial"/>
                <w:color w:val="000000"/>
                <w:sz w:val="27"/>
                <w:szCs w:val="27"/>
                <w:lang w:eastAsia="uk-UA"/>
              </w:rPr>
              <w:t>кономічна ефективність та вигода для громади</w:t>
            </w:r>
            <w:r w:rsidR="00A17A51">
              <w:rPr>
                <w:rFonts w:ascii="Arial" w:eastAsia="Times New Roman" w:hAnsi="Arial" w:cs="Arial"/>
                <w:color w:val="000000"/>
                <w:sz w:val="27"/>
                <w:szCs w:val="27"/>
                <w:lang w:eastAsia="uk-UA"/>
              </w:rPr>
              <w:t>;</w:t>
            </w:r>
          </w:p>
          <w:p w:rsidR="00A17A51" w:rsidRDefault="00A17A51" w:rsidP="00A17A51">
            <w:pPr>
              <w:shd w:val="clear" w:color="auto" w:fill="FFFFFF"/>
              <w:ind w:left="736"/>
              <w:rPr>
                <w:rFonts w:ascii="Arial" w:eastAsia="Times New Roman" w:hAnsi="Arial" w:cs="Arial"/>
                <w:color w:val="000000"/>
                <w:sz w:val="27"/>
                <w:szCs w:val="27"/>
                <w:lang w:eastAsia="uk-UA"/>
              </w:rPr>
            </w:pPr>
            <w:r w:rsidRPr="00A17A51">
              <w:rPr>
                <w:rFonts w:ascii="Arial" w:eastAsia="Times New Roman" w:hAnsi="Arial" w:cs="Arial"/>
                <w:color w:val="000000"/>
                <w:sz w:val="27"/>
                <w:szCs w:val="27"/>
                <w:lang w:eastAsia="uk-UA"/>
              </w:rPr>
              <w:t>-</w:t>
            </w:r>
            <w:r>
              <w:rPr>
                <w:rFonts w:ascii="Arial" w:eastAsia="Times New Roman" w:hAnsi="Arial" w:cs="Arial"/>
                <w:color w:val="000000"/>
                <w:sz w:val="27"/>
                <w:szCs w:val="27"/>
                <w:lang w:eastAsia="uk-UA"/>
              </w:rPr>
              <w:t xml:space="preserve"> р</w:t>
            </w:r>
            <w:r w:rsidRPr="00A17A51">
              <w:rPr>
                <w:rFonts w:ascii="Arial" w:eastAsia="Times New Roman" w:hAnsi="Arial" w:cs="Arial"/>
                <w:color w:val="000000"/>
                <w:sz w:val="27"/>
                <w:szCs w:val="27"/>
                <w:lang w:eastAsia="uk-UA"/>
              </w:rPr>
              <w:t>озвиток інфраструктури та доступність</w:t>
            </w:r>
            <w:r>
              <w:rPr>
                <w:rFonts w:ascii="Arial" w:eastAsia="Times New Roman" w:hAnsi="Arial" w:cs="Arial"/>
                <w:color w:val="000000"/>
                <w:sz w:val="27"/>
                <w:szCs w:val="27"/>
                <w:lang w:eastAsia="uk-UA"/>
              </w:rPr>
              <w:t>.</w:t>
            </w:r>
          </w:p>
          <w:p w:rsidR="00A17A51" w:rsidRPr="00A17A51" w:rsidRDefault="00A17A51" w:rsidP="00A17A51">
            <w:pPr>
              <w:shd w:val="clear" w:color="auto" w:fill="FFFFFF"/>
              <w:rPr>
                <w:rFonts w:ascii="Arial" w:hAnsi="Arial" w:cs="Arial"/>
                <w:sz w:val="28"/>
              </w:rPr>
            </w:pPr>
            <w:r w:rsidRPr="0031262E">
              <w:rPr>
                <w:rFonts w:ascii="Arial" w:eastAsia="Times New Roman" w:hAnsi="Arial" w:cs="Arial"/>
                <w:color w:val="000000"/>
                <w:sz w:val="27"/>
                <w:szCs w:val="27"/>
                <w:lang w:eastAsia="uk-UA"/>
              </w:rPr>
              <w:br/>
            </w:r>
            <w:r w:rsidRPr="00A17A51">
              <w:rPr>
                <w:rFonts w:ascii="Arial" w:eastAsia="Times New Roman" w:hAnsi="Arial" w:cs="Arial"/>
                <w:b/>
                <w:color w:val="000000"/>
                <w:sz w:val="27"/>
                <w:szCs w:val="27"/>
                <w:lang w:eastAsia="uk-UA"/>
              </w:rPr>
              <w:t>Недоліки:</w:t>
            </w:r>
          </w:p>
          <w:p w:rsidR="0031262E" w:rsidRDefault="00A17A51" w:rsidP="00A17A51">
            <w:pPr>
              <w:ind w:left="736"/>
              <w:jc w:val="both"/>
              <w:rPr>
                <w:rFonts w:ascii="Arial" w:hAnsi="Arial" w:cs="Arial"/>
                <w:sz w:val="28"/>
              </w:rPr>
            </w:pPr>
            <w:r w:rsidRPr="00A17A51">
              <w:rPr>
                <w:rFonts w:ascii="Arial" w:hAnsi="Arial" w:cs="Arial"/>
                <w:sz w:val="28"/>
              </w:rPr>
              <w:t xml:space="preserve">- </w:t>
            </w:r>
            <w:r>
              <w:rPr>
                <w:rFonts w:ascii="Arial" w:hAnsi="Arial" w:cs="Arial"/>
                <w:sz w:val="28"/>
              </w:rPr>
              <w:t>витрати часу суб’єктів на участь в</w:t>
            </w:r>
            <w:r w:rsidRPr="00A17A51">
              <w:rPr>
                <w:rFonts w:ascii="Arial" w:hAnsi="Arial" w:cs="Arial"/>
                <w:sz w:val="28"/>
              </w:rPr>
              <w:t xml:space="preserve"> </w:t>
            </w:r>
            <w:r>
              <w:rPr>
                <w:rFonts w:ascii="Arial" w:hAnsi="Arial" w:cs="Arial"/>
                <w:sz w:val="28"/>
              </w:rPr>
              <w:t>засіданні конкурсного комітету</w:t>
            </w:r>
            <w:r w:rsidRPr="00A17A51">
              <w:rPr>
                <w:rFonts w:ascii="Arial" w:hAnsi="Arial" w:cs="Arial"/>
                <w:sz w:val="28"/>
              </w:rPr>
              <w:t>.</w:t>
            </w:r>
          </w:p>
        </w:tc>
      </w:tr>
    </w:tbl>
    <w:p w:rsidR="0031262E" w:rsidRDefault="0031262E" w:rsidP="0031262E">
      <w:pPr>
        <w:spacing w:after="0" w:line="240" w:lineRule="auto"/>
        <w:jc w:val="both"/>
        <w:rPr>
          <w:rFonts w:ascii="Arial" w:hAnsi="Arial" w:cs="Arial"/>
          <w:sz w:val="28"/>
        </w:rPr>
      </w:pPr>
    </w:p>
    <w:p w:rsidR="00A17A51" w:rsidRPr="00A17A51" w:rsidRDefault="00A17A51" w:rsidP="00A17A51">
      <w:pPr>
        <w:spacing w:after="0" w:line="240" w:lineRule="auto"/>
        <w:jc w:val="both"/>
        <w:rPr>
          <w:rFonts w:ascii="Arial" w:hAnsi="Arial" w:cs="Arial"/>
          <w:b/>
          <w:sz w:val="28"/>
        </w:rPr>
      </w:pPr>
      <w:r w:rsidRPr="00A17A51">
        <w:rPr>
          <w:rFonts w:ascii="Arial" w:hAnsi="Arial" w:cs="Arial"/>
          <w:b/>
          <w:sz w:val="28"/>
        </w:rPr>
        <w:t>4. Оцінка альтернативних способів досягнення цілей</w:t>
      </w:r>
    </w:p>
    <w:p w:rsidR="00A17A51" w:rsidRDefault="00A17A51" w:rsidP="00A17A51">
      <w:pPr>
        <w:spacing w:after="0" w:line="240" w:lineRule="auto"/>
        <w:jc w:val="both"/>
        <w:rPr>
          <w:rFonts w:ascii="Arial" w:hAnsi="Arial" w:cs="Arial"/>
          <w:b/>
          <w:sz w:val="28"/>
        </w:rPr>
      </w:pPr>
      <w:r w:rsidRPr="00A17A51">
        <w:rPr>
          <w:rFonts w:ascii="Arial" w:hAnsi="Arial" w:cs="Arial"/>
          <w:b/>
          <w:sz w:val="28"/>
        </w:rPr>
        <w:t>Оцінка впливу на сферу інтересів міста:</w:t>
      </w:r>
    </w:p>
    <w:p w:rsidR="00A17A51" w:rsidRDefault="00A17A51" w:rsidP="00A17A51">
      <w:pPr>
        <w:spacing w:after="0" w:line="240" w:lineRule="auto"/>
        <w:jc w:val="both"/>
        <w:rPr>
          <w:rFonts w:ascii="Arial" w:hAnsi="Arial" w:cs="Arial"/>
          <w:b/>
          <w:sz w:val="28"/>
        </w:rPr>
      </w:pPr>
    </w:p>
    <w:p w:rsidR="00A17A51" w:rsidRDefault="00A17A51" w:rsidP="00A17A51">
      <w:pPr>
        <w:spacing w:after="0" w:line="240" w:lineRule="auto"/>
        <w:jc w:val="both"/>
        <w:rPr>
          <w:rFonts w:ascii="Arial" w:hAnsi="Arial" w:cs="Arial"/>
          <w:b/>
          <w:sz w:val="28"/>
        </w:rPr>
      </w:pPr>
    </w:p>
    <w:tbl>
      <w:tblPr>
        <w:tblStyle w:val="a3"/>
        <w:tblW w:w="0" w:type="auto"/>
        <w:tblLook w:val="04A0" w:firstRow="1" w:lastRow="0" w:firstColumn="1" w:lastColumn="0" w:noHBand="0" w:noVBand="1"/>
      </w:tblPr>
      <w:tblGrid>
        <w:gridCol w:w="3209"/>
        <w:gridCol w:w="3210"/>
        <w:gridCol w:w="3210"/>
      </w:tblGrid>
      <w:tr w:rsidR="00A17A51" w:rsidTr="00A17A51">
        <w:tc>
          <w:tcPr>
            <w:tcW w:w="3209" w:type="dxa"/>
          </w:tcPr>
          <w:p w:rsidR="00A17A51" w:rsidRDefault="00A17A51" w:rsidP="005F4B1B">
            <w:pPr>
              <w:jc w:val="center"/>
              <w:rPr>
                <w:rFonts w:ascii="Arial" w:hAnsi="Arial" w:cs="Arial"/>
                <w:b/>
                <w:sz w:val="28"/>
              </w:rPr>
            </w:pPr>
            <w:r>
              <w:rPr>
                <w:rFonts w:ascii="Arial" w:hAnsi="Arial" w:cs="Arial"/>
                <w:b/>
                <w:sz w:val="28"/>
              </w:rPr>
              <w:lastRenderedPageBreak/>
              <w:t>Вид альтернативи</w:t>
            </w:r>
          </w:p>
        </w:tc>
        <w:tc>
          <w:tcPr>
            <w:tcW w:w="3210" w:type="dxa"/>
          </w:tcPr>
          <w:p w:rsidR="00A17A51" w:rsidRDefault="00A17A51" w:rsidP="005F4B1B">
            <w:pPr>
              <w:jc w:val="center"/>
              <w:rPr>
                <w:rFonts w:ascii="Arial" w:hAnsi="Arial" w:cs="Arial"/>
                <w:b/>
                <w:sz w:val="28"/>
              </w:rPr>
            </w:pPr>
            <w:r>
              <w:rPr>
                <w:rFonts w:ascii="Arial" w:hAnsi="Arial" w:cs="Arial"/>
                <w:b/>
                <w:sz w:val="28"/>
              </w:rPr>
              <w:t>Вигоди</w:t>
            </w:r>
          </w:p>
        </w:tc>
        <w:tc>
          <w:tcPr>
            <w:tcW w:w="3210" w:type="dxa"/>
          </w:tcPr>
          <w:p w:rsidR="00A17A51" w:rsidRDefault="00A17A51" w:rsidP="005F4B1B">
            <w:pPr>
              <w:jc w:val="center"/>
              <w:rPr>
                <w:rFonts w:ascii="Arial" w:hAnsi="Arial" w:cs="Arial"/>
                <w:b/>
                <w:sz w:val="28"/>
              </w:rPr>
            </w:pPr>
            <w:r>
              <w:rPr>
                <w:rFonts w:ascii="Arial" w:hAnsi="Arial" w:cs="Arial"/>
                <w:b/>
                <w:sz w:val="28"/>
              </w:rPr>
              <w:t>Витрати</w:t>
            </w:r>
          </w:p>
        </w:tc>
      </w:tr>
      <w:tr w:rsidR="00A17A51" w:rsidRPr="00841D88" w:rsidTr="00A17A51">
        <w:tc>
          <w:tcPr>
            <w:tcW w:w="3209" w:type="dxa"/>
          </w:tcPr>
          <w:p w:rsidR="00A17A51" w:rsidRDefault="00A17A51" w:rsidP="005F4B1B">
            <w:pPr>
              <w:jc w:val="center"/>
              <w:rPr>
                <w:rFonts w:ascii="Arial" w:hAnsi="Arial" w:cs="Arial"/>
                <w:b/>
                <w:sz w:val="28"/>
              </w:rPr>
            </w:pPr>
            <w:r w:rsidRPr="0031262E">
              <w:rPr>
                <w:rFonts w:ascii="Arial" w:hAnsi="Arial" w:cs="Arial"/>
                <w:sz w:val="28"/>
              </w:rPr>
              <w:t>Альтернатива 1</w:t>
            </w:r>
          </w:p>
        </w:tc>
        <w:tc>
          <w:tcPr>
            <w:tcW w:w="3210" w:type="dxa"/>
          </w:tcPr>
          <w:p w:rsidR="00A17A51"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00A17A51"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c>
          <w:tcPr>
            <w:tcW w:w="3210" w:type="dxa"/>
          </w:tcPr>
          <w:p w:rsidR="00A17A51" w:rsidRPr="00841D88" w:rsidRDefault="00841D88" w:rsidP="005F4B1B">
            <w:pPr>
              <w:jc w:val="center"/>
              <w:rPr>
                <w:rFonts w:ascii="Arial" w:eastAsia="Times New Roman" w:hAnsi="Arial" w:cs="Arial"/>
                <w:color w:val="000000"/>
                <w:sz w:val="27"/>
                <w:szCs w:val="27"/>
                <w:shd w:val="clear" w:color="auto" w:fill="FFFFFF"/>
                <w:lang w:eastAsia="uk-UA"/>
              </w:rPr>
            </w:pPr>
            <w:r w:rsidRPr="00841D88">
              <w:rPr>
                <w:rFonts w:ascii="Arial" w:eastAsia="Times New Roman" w:hAnsi="Arial" w:cs="Arial"/>
                <w:color w:val="000000"/>
                <w:sz w:val="27"/>
                <w:szCs w:val="27"/>
                <w:shd w:val="clear" w:color="auto" w:fill="FFFFFF"/>
                <w:lang w:eastAsia="uk-UA"/>
              </w:rPr>
              <w:t>Відсутність конкурсу з визначення суб'єкта, що здійснюватиме облаштування та обслуговування станції зарядки електротранспорту</w:t>
            </w:r>
          </w:p>
        </w:tc>
      </w:tr>
      <w:tr w:rsidR="00A17A51" w:rsidTr="00A17A51">
        <w:tc>
          <w:tcPr>
            <w:tcW w:w="3209" w:type="dxa"/>
          </w:tcPr>
          <w:p w:rsidR="00A17A51" w:rsidRDefault="00A17A51" w:rsidP="005F4B1B">
            <w:pPr>
              <w:jc w:val="center"/>
              <w:rPr>
                <w:rFonts w:ascii="Arial" w:hAnsi="Arial" w:cs="Arial"/>
                <w:b/>
                <w:sz w:val="28"/>
              </w:rPr>
            </w:pPr>
            <w:r w:rsidRPr="0031262E">
              <w:rPr>
                <w:rFonts w:ascii="Arial" w:hAnsi="Arial" w:cs="Arial"/>
                <w:sz w:val="28"/>
              </w:rPr>
              <w:t>Альтернатива 2</w:t>
            </w:r>
          </w:p>
        </w:tc>
        <w:tc>
          <w:tcPr>
            <w:tcW w:w="3210" w:type="dxa"/>
          </w:tcPr>
          <w:p w:rsidR="00841D88" w:rsidRPr="00841D88" w:rsidRDefault="00841D88" w:rsidP="005F4B1B">
            <w:pPr>
              <w:jc w:val="center"/>
              <w:rPr>
                <w:rFonts w:ascii="Arial" w:hAnsi="Arial" w:cs="Arial"/>
                <w:sz w:val="28"/>
              </w:rPr>
            </w:pPr>
            <w:r w:rsidRPr="00841D88">
              <w:rPr>
                <w:rFonts w:ascii="Arial" w:hAnsi="Arial" w:cs="Arial"/>
                <w:sz w:val="28"/>
              </w:rPr>
              <w:t>Встановлення єдиного порядку розміщення станцій зарядки електротранспорту на території Львівської міської територіальної громади.</w:t>
            </w:r>
          </w:p>
        </w:tc>
        <w:tc>
          <w:tcPr>
            <w:tcW w:w="3210" w:type="dxa"/>
          </w:tcPr>
          <w:p w:rsidR="00A17A51"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r>
    </w:tbl>
    <w:p w:rsidR="00A17A51" w:rsidRDefault="00A17A51" w:rsidP="00A17A51">
      <w:pPr>
        <w:spacing w:after="0" w:line="240" w:lineRule="auto"/>
        <w:jc w:val="both"/>
        <w:rPr>
          <w:rFonts w:ascii="Arial" w:hAnsi="Arial" w:cs="Arial"/>
          <w:b/>
          <w:sz w:val="28"/>
        </w:rPr>
      </w:pPr>
    </w:p>
    <w:p w:rsidR="00841D88" w:rsidRDefault="00841D88" w:rsidP="00A17A51">
      <w:pPr>
        <w:spacing w:after="0" w:line="240" w:lineRule="auto"/>
        <w:jc w:val="both"/>
        <w:rPr>
          <w:rFonts w:ascii="Arial" w:hAnsi="Arial" w:cs="Arial"/>
          <w:b/>
          <w:sz w:val="28"/>
        </w:rPr>
      </w:pPr>
      <w:r w:rsidRPr="00841D88">
        <w:rPr>
          <w:rFonts w:ascii="Arial" w:hAnsi="Arial" w:cs="Arial"/>
          <w:b/>
          <w:sz w:val="28"/>
        </w:rPr>
        <w:t>Оцінка впливу на сферу інтересів громадян:</w:t>
      </w:r>
    </w:p>
    <w:p w:rsidR="00841D88" w:rsidRDefault="00841D88" w:rsidP="00A17A51">
      <w:pPr>
        <w:spacing w:after="0" w:line="240" w:lineRule="auto"/>
        <w:jc w:val="both"/>
        <w:rPr>
          <w:rFonts w:ascii="Arial" w:hAnsi="Arial" w:cs="Arial"/>
          <w:b/>
          <w:sz w:val="28"/>
        </w:rPr>
      </w:pPr>
    </w:p>
    <w:tbl>
      <w:tblPr>
        <w:tblStyle w:val="a3"/>
        <w:tblW w:w="0" w:type="auto"/>
        <w:tblLook w:val="04A0" w:firstRow="1" w:lastRow="0" w:firstColumn="1" w:lastColumn="0" w:noHBand="0" w:noVBand="1"/>
      </w:tblPr>
      <w:tblGrid>
        <w:gridCol w:w="3209"/>
        <w:gridCol w:w="3210"/>
        <w:gridCol w:w="3210"/>
      </w:tblGrid>
      <w:tr w:rsidR="00841D88" w:rsidTr="00687939">
        <w:tc>
          <w:tcPr>
            <w:tcW w:w="3209" w:type="dxa"/>
          </w:tcPr>
          <w:p w:rsidR="00841D88" w:rsidRDefault="00841D88" w:rsidP="005F4B1B">
            <w:pPr>
              <w:jc w:val="center"/>
              <w:rPr>
                <w:rFonts w:ascii="Arial" w:hAnsi="Arial" w:cs="Arial"/>
                <w:b/>
                <w:sz w:val="28"/>
              </w:rPr>
            </w:pPr>
            <w:r>
              <w:rPr>
                <w:rFonts w:ascii="Arial" w:hAnsi="Arial" w:cs="Arial"/>
                <w:b/>
                <w:sz w:val="28"/>
              </w:rPr>
              <w:t>Вид альтернативи</w:t>
            </w:r>
          </w:p>
        </w:tc>
        <w:tc>
          <w:tcPr>
            <w:tcW w:w="3210" w:type="dxa"/>
          </w:tcPr>
          <w:p w:rsidR="00841D88" w:rsidRDefault="00841D88" w:rsidP="005F4B1B">
            <w:pPr>
              <w:jc w:val="center"/>
              <w:rPr>
                <w:rFonts w:ascii="Arial" w:hAnsi="Arial" w:cs="Arial"/>
                <w:b/>
                <w:sz w:val="28"/>
              </w:rPr>
            </w:pPr>
            <w:r>
              <w:rPr>
                <w:rFonts w:ascii="Arial" w:hAnsi="Arial" w:cs="Arial"/>
                <w:b/>
                <w:sz w:val="28"/>
              </w:rPr>
              <w:t>Вигоди</w:t>
            </w:r>
          </w:p>
        </w:tc>
        <w:tc>
          <w:tcPr>
            <w:tcW w:w="3210" w:type="dxa"/>
          </w:tcPr>
          <w:p w:rsidR="00841D88" w:rsidRDefault="00841D88" w:rsidP="005F4B1B">
            <w:pPr>
              <w:jc w:val="center"/>
              <w:rPr>
                <w:rFonts w:ascii="Arial" w:hAnsi="Arial" w:cs="Arial"/>
                <w:b/>
                <w:sz w:val="28"/>
              </w:rPr>
            </w:pPr>
            <w:r>
              <w:rPr>
                <w:rFonts w:ascii="Arial" w:hAnsi="Arial" w:cs="Arial"/>
                <w:b/>
                <w:sz w:val="28"/>
              </w:rPr>
              <w:t>Витрати</w:t>
            </w:r>
          </w:p>
        </w:tc>
      </w:tr>
      <w:tr w:rsidR="00841D88" w:rsidTr="00687939">
        <w:tc>
          <w:tcPr>
            <w:tcW w:w="3209" w:type="dxa"/>
          </w:tcPr>
          <w:p w:rsidR="00841D88" w:rsidRDefault="00841D88" w:rsidP="005F4B1B">
            <w:pPr>
              <w:jc w:val="center"/>
              <w:rPr>
                <w:rFonts w:ascii="Arial" w:hAnsi="Arial" w:cs="Arial"/>
                <w:b/>
                <w:sz w:val="28"/>
              </w:rPr>
            </w:pPr>
            <w:r w:rsidRPr="0031262E">
              <w:rPr>
                <w:rFonts w:ascii="Arial" w:hAnsi="Arial" w:cs="Arial"/>
                <w:sz w:val="28"/>
              </w:rPr>
              <w:t>Альтернатива 1</w:t>
            </w:r>
          </w:p>
        </w:tc>
        <w:tc>
          <w:tcPr>
            <w:tcW w:w="3210" w:type="dxa"/>
          </w:tcPr>
          <w:p w:rsidR="00841D88"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c>
          <w:tcPr>
            <w:tcW w:w="3210" w:type="dxa"/>
          </w:tcPr>
          <w:p w:rsidR="00841D88" w:rsidRDefault="00841D88" w:rsidP="005F4B1B">
            <w:pPr>
              <w:jc w:val="center"/>
              <w:rPr>
                <w:rFonts w:ascii="Arial" w:hAnsi="Arial" w:cs="Arial"/>
                <w:b/>
                <w:sz w:val="28"/>
              </w:rPr>
            </w:pPr>
            <w:r>
              <w:rPr>
                <w:rFonts w:ascii="Arial" w:hAnsi="Arial" w:cs="Arial"/>
                <w:sz w:val="28"/>
              </w:rPr>
              <w:t>В</w:t>
            </w:r>
            <w:r w:rsidRPr="00841D88">
              <w:rPr>
                <w:rFonts w:ascii="Arial" w:hAnsi="Arial" w:cs="Arial"/>
                <w:sz w:val="28"/>
              </w:rPr>
              <w:t>і</w:t>
            </w:r>
            <w:r>
              <w:rPr>
                <w:rFonts w:ascii="Arial" w:hAnsi="Arial" w:cs="Arial"/>
                <w:sz w:val="28"/>
              </w:rPr>
              <w:t xml:space="preserve">дсутність конкуренції за якість, </w:t>
            </w:r>
            <w:r w:rsidRPr="00841D88">
              <w:rPr>
                <w:rFonts w:ascii="Arial" w:hAnsi="Arial" w:cs="Arial"/>
                <w:sz w:val="28"/>
              </w:rPr>
              <w:t xml:space="preserve">хаотичний розвиток </w:t>
            </w:r>
            <w:r>
              <w:rPr>
                <w:rFonts w:ascii="Arial" w:hAnsi="Arial" w:cs="Arial"/>
                <w:sz w:val="28"/>
              </w:rPr>
              <w:t xml:space="preserve">зарядної </w:t>
            </w:r>
            <w:r w:rsidRPr="00841D88">
              <w:rPr>
                <w:rFonts w:ascii="Arial" w:hAnsi="Arial" w:cs="Arial"/>
                <w:sz w:val="28"/>
              </w:rPr>
              <w:t>інфраструктури.</w:t>
            </w:r>
          </w:p>
        </w:tc>
      </w:tr>
      <w:tr w:rsidR="00841D88" w:rsidTr="00687939">
        <w:tc>
          <w:tcPr>
            <w:tcW w:w="3209" w:type="dxa"/>
          </w:tcPr>
          <w:p w:rsidR="00841D88" w:rsidRDefault="00841D88" w:rsidP="005F4B1B">
            <w:pPr>
              <w:jc w:val="center"/>
              <w:rPr>
                <w:rFonts w:ascii="Arial" w:hAnsi="Arial" w:cs="Arial"/>
                <w:b/>
                <w:sz w:val="28"/>
              </w:rPr>
            </w:pPr>
            <w:r w:rsidRPr="0031262E">
              <w:rPr>
                <w:rFonts w:ascii="Arial" w:hAnsi="Arial" w:cs="Arial"/>
                <w:sz w:val="28"/>
              </w:rPr>
              <w:t>Альтернатива 2</w:t>
            </w:r>
          </w:p>
        </w:tc>
        <w:tc>
          <w:tcPr>
            <w:tcW w:w="3210" w:type="dxa"/>
          </w:tcPr>
          <w:p w:rsidR="00841D88" w:rsidRDefault="00841D88" w:rsidP="005F4B1B">
            <w:pPr>
              <w:jc w:val="center"/>
              <w:rPr>
                <w:rFonts w:ascii="Arial" w:hAnsi="Arial" w:cs="Arial"/>
                <w:b/>
                <w:sz w:val="28"/>
              </w:rPr>
            </w:pPr>
            <w:r>
              <w:rPr>
                <w:rFonts w:ascii="Arial" w:hAnsi="Arial" w:cs="Arial"/>
                <w:sz w:val="28"/>
              </w:rPr>
              <w:t>Прозорість та доброчесність,</w:t>
            </w:r>
            <w:r w:rsidRPr="00841D88">
              <w:rPr>
                <w:rFonts w:ascii="Arial" w:hAnsi="Arial" w:cs="Arial"/>
                <w:sz w:val="28"/>
              </w:rPr>
              <w:t xml:space="preserve"> якість та інноваційн</w:t>
            </w:r>
            <w:r>
              <w:rPr>
                <w:rFonts w:ascii="Arial" w:hAnsi="Arial" w:cs="Arial"/>
                <w:sz w:val="28"/>
              </w:rPr>
              <w:t>і рішення,</w:t>
            </w:r>
            <w:r w:rsidRPr="00841D88">
              <w:rPr>
                <w:rFonts w:ascii="Arial" w:hAnsi="Arial" w:cs="Arial"/>
                <w:sz w:val="28"/>
              </w:rPr>
              <w:t xml:space="preserve"> економічна ефективність та вигода для громади</w:t>
            </w:r>
            <w:r>
              <w:rPr>
                <w:rFonts w:ascii="Arial" w:hAnsi="Arial" w:cs="Arial"/>
                <w:sz w:val="28"/>
              </w:rPr>
              <w:t>.</w:t>
            </w:r>
          </w:p>
        </w:tc>
        <w:tc>
          <w:tcPr>
            <w:tcW w:w="3210" w:type="dxa"/>
          </w:tcPr>
          <w:p w:rsidR="00841D88"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r>
    </w:tbl>
    <w:p w:rsidR="00841D88" w:rsidRDefault="00841D88" w:rsidP="00A17A51">
      <w:pPr>
        <w:spacing w:after="0" w:line="240" w:lineRule="auto"/>
        <w:jc w:val="both"/>
        <w:rPr>
          <w:rFonts w:ascii="Arial" w:hAnsi="Arial" w:cs="Arial"/>
          <w:b/>
          <w:sz w:val="28"/>
        </w:rPr>
      </w:pPr>
    </w:p>
    <w:p w:rsidR="00841D88" w:rsidRDefault="00841D88" w:rsidP="00A17A51">
      <w:pPr>
        <w:spacing w:after="0" w:line="240" w:lineRule="auto"/>
        <w:jc w:val="both"/>
        <w:rPr>
          <w:rFonts w:ascii="Arial" w:hAnsi="Arial" w:cs="Arial"/>
          <w:b/>
          <w:sz w:val="28"/>
        </w:rPr>
      </w:pPr>
      <w:r w:rsidRPr="00841D88">
        <w:rPr>
          <w:rFonts w:ascii="Arial" w:hAnsi="Arial" w:cs="Arial"/>
          <w:b/>
          <w:sz w:val="28"/>
        </w:rPr>
        <w:t>Оцінка впливу на сферу інтересів суб’єктів господарювання:</w:t>
      </w:r>
    </w:p>
    <w:p w:rsidR="00841D88" w:rsidRDefault="00841D88" w:rsidP="00A17A51">
      <w:pPr>
        <w:spacing w:after="0" w:line="240" w:lineRule="auto"/>
        <w:jc w:val="both"/>
        <w:rPr>
          <w:rFonts w:ascii="Arial" w:hAnsi="Arial" w:cs="Arial"/>
          <w:b/>
          <w:sz w:val="28"/>
        </w:rPr>
      </w:pPr>
    </w:p>
    <w:tbl>
      <w:tblPr>
        <w:tblStyle w:val="a3"/>
        <w:tblW w:w="0" w:type="auto"/>
        <w:tblLook w:val="04A0" w:firstRow="1" w:lastRow="0" w:firstColumn="1" w:lastColumn="0" w:noHBand="0" w:noVBand="1"/>
      </w:tblPr>
      <w:tblGrid>
        <w:gridCol w:w="3209"/>
        <w:gridCol w:w="3210"/>
        <w:gridCol w:w="3210"/>
      </w:tblGrid>
      <w:tr w:rsidR="00841D88" w:rsidTr="00687939">
        <w:tc>
          <w:tcPr>
            <w:tcW w:w="3209" w:type="dxa"/>
          </w:tcPr>
          <w:p w:rsidR="00841D88" w:rsidRDefault="00841D88" w:rsidP="005F4B1B">
            <w:pPr>
              <w:jc w:val="center"/>
              <w:rPr>
                <w:rFonts w:ascii="Arial" w:hAnsi="Arial" w:cs="Arial"/>
                <w:b/>
                <w:sz w:val="28"/>
              </w:rPr>
            </w:pPr>
            <w:r>
              <w:rPr>
                <w:rFonts w:ascii="Arial" w:hAnsi="Arial" w:cs="Arial"/>
                <w:b/>
                <w:sz w:val="28"/>
              </w:rPr>
              <w:t>Вид альтернативи</w:t>
            </w:r>
          </w:p>
        </w:tc>
        <w:tc>
          <w:tcPr>
            <w:tcW w:w="3210" w:type="dxa"/>
          </w:tcPr>
          <w:p w:rsidR="00841D88" w:rsidRDefault="00841D88" w:rsidP="005F4B1B">
            <w:pPr>
              <w:jc w:val="center"/>
              <w:rPr>
                <w:rFonts w:ascii="Arial" w:hAnsi="Arial" w:cs="Arial"/>
                <w:b/>
                <w:sz w:val="28"/>
              </w:rPr>
            </w:pPr>
            <w:r>
              <w:rPr>
                <w:rFonts w:ascii="Arial" w:hAnsi="Arial" w:cs="Arial"/>
                <w:b/>
                <w:sz w:val="28"/>
              </w:rPr>
              <w:t>Вигоди</w:t>
            </w:r>
          </w:p>
        </w:tc>
        <w:tc>
          <w:tcPr>
            <w:tcW w:w="3210" w:type="dxa"/>
          </w:tcPr>
          <w:p w:rsidR="00841D88" w:rsidRDefault="00841D88" w:rsidP="005F4B1B">
            <w:pPr>
              <w:jc w:val="center"/>
              <w:rPr>
                <w:rFonts w:ascii="Arial" w:hAnsi="Arial" w:cs="Arial"/>
                <w:b/>
                <w:sz w:val="28"/>
              </w:rPr>
            </w:pPr>
            <w:r>
              <w:rPr>
                <w:rFonts w:ascii="Arial" w:hAnsi="Arial" w:cs="Arial"/>
                <w:b/>
                <w:sz w:val="28"/>
              </w:rPr>
              <w:t>Витрати</w:t>
            </w:r>
          </w:p>
        </w:tc>
      </w:tr>
      <w:tr w:rsidR="00841D88" w:rsidTr="00687939">
        <w:tc>
          <w:tcPr>
            <w:tcW w:w="3209" w:type="dxa"/>
          </w:tcPr>
          <w:p w:rsidR="00841D88" w:rsidRDefault="00841D88" w:rsidP="005F4B1B">
            <w:pPr>
              <w:jc w:val="center"/>
              <w:rPr>
                <w:rFonts w:ascii="Arial" w:hAnsi="Arial" w:cs="Arial"/>
                <w:b/>
                <w:sz w:val="28"/>
              </w:rPr>
            </w:pPr>
            <w:r w:rsidRPr="0031262E">
              <w:rPr>
                <w:rFonts w:ascii="Arial" w:hAnsi="Arial" w:cs="Arial"/>
                <w:sz w:val="28"/>
              </w:rPr>
              <w:t>Альтернатива 1</w:t>
            </w:r>
          </w:p>
        </w:tc>
        <w:tc>
          <w:tcPr>
            <w:tcW w:w="3210" w:type="dxa"/>
          </w:tcPr>
          <w:p w:rsidR="00841D88"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c>
          <w:tcPr>
            <w:tcW w:w="3210" w:type="dxa"/>
          </w:tcPr>
          <w:p w:rsidR="00841D88"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r>
      <w:tr w:rsidR="00841D88" w:rsidTr="00687939">
        <w:tc>
          <w:tcPr>
            <w:tcW w:w="3209" w:type="dxa"/>
          </w:tcPr>
          <w:p w:rsidR="00841D88" w:rsidRDefault="00841D88" w:rsidP="005F4B1B">
            <w:pPr>
              <w:jc w:val="center"/>
              <w:rPr>
                <w:rFonts w:ascii="Arial" w:hAnsi="Arial" w:cs="Arial"/>
                <w:b/>
                <w:sz w:val="28"/>
              </w:rPr>
            </w:pPr>
            <w:r w:rsidRPr="0031262E">
              <w:rPr>
                <w:rFonts w:ascii="Arial" w:hAnsi="Arial" w:cs="Arial"/>
                <w:sz w:val="28"/>
              </w:rPr>
              <w:t>Альтернатива 2</w:t>
            </w:r>
          </w:p>
        </w:tc>
        <w:tc>
          <w:tcPr>
            <w:tcW w:w="3210" w:type="dxa"/>
          </w:tcPr>
          <w:p w:rsidR="00841D88" w:rsidRDefault="00841D88" w:rsidP="007F0915">
            <w:pPr>
              <w:jc w:val="center"/>
              <w:rPr>
                <w:rFonts w:ascii="Arial" w:hAnsi="Arial" w:cs="Arial"/>
                <w:b/>
                <w:sz w:val="28"/>
              </w:rPr>
            </w:pPr>
            <w:r w:rsidRPr="00841D88">
              <w:rPr>
                <w:rFonts w:ascii="Arial" w:hAnsi="Arial" w:cs="Arial"/>
                <w:sz w:val="28"/>
              </w:rPr>
              <w:t xml:space="preserve">Створення умов для прозорого отримання </w:t>
            </w:r>
            <w:r w:rsidR="007F0915">
              <w:rPr>
                <w:rFonts w:ascii="Arial" w:hAnsi="Arial" w:cs="Arial"/>
                <w:sz w:val="28"/>
              </w:rPr>
              <w:t>місць</w:t>
            </w:r>
            <w:r w:rsidRPr="00841D88">
              <w:rPr>
                <w:rFonts w:ascii="Arial" w:hAnsi="Arial" w:cs="Arial"/>
                <w:sz w:val="28"/>
              </w:rPr>
              <w:t xml:space="preserve"> для встановлення станцій для зарядки електротранспорту</w:t>
            </w:r>
          </w:p>
        </w:tc>
        <w:tc>
          <w:tcPr>
            <w:tcW w:w="3210" w:type="dxa"/>
          </w:tcPr>
          <w:p w:rsidR="00841D88" w:rsidRDefault="00841D88"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В</w:t>
            </w:r>
            <w:r w:rsidRPr="0031262E">
              <w:rPr>
                <w:rFonts w:ascii="Arial" w:eastAsia="Times New Roman" w:hAnsi="Arial" w:cs="Arial"/>
                <w:color w:val="000000"/>
                <w:sz w:val="27"/>
                <w:szCs w:val="27"/>
                <w:shd w:val="clear" w:color="auto" w:fill="FFFFFF"/>
                <w:lang w:eastAsia="uk-UA"/>
              </w:rPr>
              <w:t>ідсутн</w:t>
            </w:r>
            <w:r>
              <w:rPr>
                <w:rFonts w:ascii="Arial" w:eastAsia="Times New Roman" w:hAnsi="Arial" w:cs="Arial"/>
                <w:color w:val="000000"/>
                <w:sz w:val="27"/>
                <w:szCs w:val="27"/>
                <w:shd w:val="clear" w:color="auto" w:fill="FFFFFF"/>
                <w:lang w:eastAsia="uk-UA"/>
              </w:rPr>
              <w:t>я</w:t>
            </w:r>
          </w:p>
        </w:tc>
      </w:tr>
    </w:tbl>
    <w:p w:rsidR="00841D88" w:rsidRDefault="00841D88" w:rsidP="00A17A51">
      <w:pPr>
        <w:spacing w:after="0" w:line="240" w:lineRule="auto"/>
        <w:jc w:val="both"/>
        <w:rPr>
          <w:rFonts w:ascii="Arial" w:hAnsi="Arial" w:cs="Arial"/>
          <w:b/>
          <w:sz w:val="28"/>
        </w:rPr>
      </w:pPr>
    </w:p>
    <w:p w:rsidR="004E2982" w:rsidRPr="004E2982" w:rsidRDefault="004E2982" w:rsidP="004E2982">
      <w:pPr>
        <w:spacing w:after="0" w:line="240" w:lineRule="auto"/>
        <w:jc w:val="both"/>
        <w:rPr>
          <w:rFonts w:ascii="Arial" w:hAnsi="Arial" w:cs="Arial"/>
          <w:b/>
          <w:sz w:val="28"/>
        </w:rPr>
      </w:pPr>
      <w:r w:rsidRPr="004E2982">
        <w:rPr>
          <w:rFonts w:ascii="Arial" w:hAnsi="Arial" w:cs="Arial"/>
          <w:b/>
          <w:sz w:val="28"/>
        </w:rPr>
        <w:t>5. Вибір найбільш оптимального альтернативного способу досягнення цілей</w:t>
      </w:r>
    </w:p>
    <w:p w:rsidR="004E2982" w:rsidRPr="004E2982" w:rsidRDefault="004E2982" w:rsidP="004E2982">
      <w:pPr>
        <w:spacing w:after="0" w:line="240" w:lineRule="auto"/>
        <w:jc w:val="both"/>
        <w:rPr>
          <w:rFonts w:ascii="Arial" w:hAnsi="Arial" w:cs="Arial"/>
          <w:b/>
          <w:sz w:val="28"/>
        </w:rPr>
      </w:pP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xml:space="preserve">За результатами опрацювання альтернативних способів досягнення цілей державного регулювання здійснено вибір оптимального альтернативного </w:t>
      </w:r>
      <w:r w:rsidRPr="004E2982">
        <w:rPr>
          <w:rFonts w:ascii="Arial" w:hAnsi="Arial" w:cs="Arial"/>
          <w:sz w:val="28"/>
        </w:rPr>
        <w:lastRenderedPageBreak/>
        <w:t>способу з урахуванням системи бальної оцінки ступеня досягнення визначених цілей.</w:t>
      </w:r>
    </w:p>
    <w:p w:rsidR="00841D88" w:rsidRDefault="004E2982" w:rsidP="004E2982">
      <w:pPr>
        <w:spacing w:after="0" w:line="240" w:lineRule="auto"/>
        <w:jc w:val="both"/>
        <w:rPr>
          <w:rFonts w:ascii="Arial" w:hAnsi="Arial" w:cs="Arial"/>
          <w:sz w:val="28"/>
        </w:rPr>
      </w:pPr>
      <w:r w:rsidRPr="004E2982">
        <w:rPr>
          <w:rFonts w:ascii="Arial" w:hAnsi="Arial" w:cs="Arial"/>
          <w:sz w:val="28"/>
        </w:rPr>
        <w:t>Вартість балів визначається за чотирибальною системою оцінки ступеня досягнення визначених цілей.</w:t>
      </w:r>
    </w:p>
    <w:p w:rsidR="004E2982" w:rsidRDefault="004E2982" w:rsidP="004E2982">
      <w:pPr>
        <w:spacing w:after="0" w:line="240" w:lineRule="auto"/>
        <w:jc w:val="both"/>
        <w:rPr>
          <w:rFonts w:ascii="Arial" w:hAnsi="Arial" w:cs="Arial"/>
          <w:sz w:val="28"/>
        </w:rPr>
      </w:pPr>
    </w:p>
    <w:tbl>
      <w:tblPr>
        <w:tblStyle w:val="a3"/>
        <w:tblW w:w="0" w:type="auto"/>
        <w:tblLook w:val="04A0" w:firstRow="1" w:lastRow="0" w:firstColumn="1" w:lastColumn="0" w:noHBand="0" w:noVBand="1"/>
      </w:tblPr>
      <w:tblGrid>
        <w:gridCol w:w="3209"/>
        <w:gridCol w:w="3210"/>
        <w:gridCol w:w="3210"/>
      </w:tblGrid>
      <w:tr w:rsidR="004E2982" w:rsidTr="00687939">
        <w:tc>
          <w:tcPr>
            <w:tcW w:w="3209" w:type="dxa"/>
          </w:tcPr>
          <w:p w:rsidR="004E2982" w:rsidRDefault="004E2982" w:rsidP="005F4B1B">
            <w:pPr>
              <w:jc w:val="center"/>
              <w:rPr>
                <w:rFonts w:ascii="Arial" w:hAnsi="Arial" w:cs="Arial"/>
                <w:b/>
                <w:sz w:val="28"/>
              </w:rPr>
            </w:pPr>
            <w:r w:rsidRPr="004E2982">
              <w:rPr>
                <w:rFonts w:ascii="Arial" w:hAnsi="Arial" w:cs="Arial"/>
                <w:b/>
                <w:sz w:val="28"/>
              </w:rPr>
              <w:t>Рейтинг результативності (досягнення цілей під час вирішення проблеми)</w:t>
            </w:r>
          </w:p>
        </w:tc>
        <w:tc>
          <w:tcPr>
            <w:tcW w:w="3210" w:type="dxa"/>
          </w:tcPr>
          <w:p w:rsidR="004E2982" w:rsidRDefault="004E2982" w:rsidP="005F4B1B">
            <w:pPr>
              <w:jc w:val="center"/>
              <w:rPr>
                <w:rFonts w:ascii="Arial" w:hAnsi="Arial" w:cs="Arial"/>
                <w:b/>
                <w:sz w:val="28"/>
              </w:rPr>
            </w:pPr>
            <w:r w:rsidRPr="004E2982">
              <w:rPr>
                <w:rFonts w:ascii="Arial" w:hAnsi="Arial" w:cs="Arial"/>
                <w:b/>
                <w:sz w:val="28"/>
              </w:rPr>
              <w:t>Бал результативності (за чотирибальною системою оцінки)</w:t>
            </w:r>
          </w:p>
        </w:tc>
        <w:tc>
          <w:tcPr>
            <w:tcW w:w="3210" w:type="dxa"/>
          </w:tcPr>
          <w:p w:rsidR="004E2982" w:rsidRDefault="004E2982" w:rsidP="005F4B1B">
            <w:pPr>
              <w:jc w:val="center"/>
              <w:rPr>
                <w:rFonts w:ascii="Arial" w:hAnsi="Arial" w:cs="Arial"/>
                <w:b/>
                <w:sz w:val="28"/>
              </w:rPr>
            </w:pPr>
            <w:r w:rsidRPr="004E2982">
              <w:rPr>
                <w:rFonts w:ascii="Arial" w:hAnsi="Arial" w:cs="Arial"/>
                <w:b/>
                <w:sz w:val="28"/>
              </w:rPr>
              <w:t xml:space="preserve">Коментарі щодо присвоєння відповідного </w:t>
            </w:r>
            <w:proofErr w:type="spellStart"/>
            <w:r w:rsidRPr="004E2982">
              <w:rPr>
                <w:rFonts w:ascii="Arial" w:hAnsi="Arial" w:cs="Arial"/>
                <w:b/>
                <w:sz w:val="28"/>
              </w:rPr>
              <w:t>бала</w:t>
            </w:r>
            <w:proofErr w:type="spellEnd"/>
          </w:p>
        </w:tc>
      </w:tr>
      <w:tr w:rsidR="004E2982" w:rsidTr="00687939">
        <w:tc>
          <w:tcPr>
            <w:tcW w:w="3209" w:type="dxa"/>
          </w:tcPr>
          <w:p w:rsidR="004E2982" w:rsidRDefault="004E2982" w:rsidP="005F4B1B">
            <w:pPr>
              <w:jc w:val="center"/>
              <w:rPr>
                <w:rFonts w:ascii="Arial" w:hAnsi="Arial" w:cs="Arial"/>
                <w:b/>
                <w:sz w:val="28"/>
              </w:rPr>
            </w:pPr>
            <w:r w:rsidRPr="0031262E">
              <w:rPr>
                <w:rFonts w:ascii="Arial" w:hAnsi="Arial" w:cs="Arial"/>
                <w:sz w:val="28"/>
              </w:rPr>
              <w:t>Альтернатива 1</w:t>
            </w:r>
          </w:p>
        </w:tc>
        <w:tc>
          <w:tcPr>
            <w:tcW w:w="3210" w:type="dxa"/>
          </w:tcPr>
          <w:p w:rsidR="004E2982" w:rsidRDefault="004E2982" w:rsidP="005F4B1B">
            <w:pPr>
              <w:jc w:val="center"/>
              <w:rPr>
                <w:rFonts w:ascii="Arial" w:hAnsi="Arial" w:cs="Arial"/>
                <w:b/>
                <w:sz w:val="28"/>
              </w:rPr>
            </w:pPr>
            <w:r>
              <w:rPr>
                <w:rFonts w:ascii="Arial" w:eastAsia="Times New Roman" w:hAnsi="Arial" w:cs="Arial"/>
                <w:color w:val="000000"/>
                <w:sz w:val="27"/>
                <w:szCs w:val="27"/>
                <w:shd w:val="clear" w:color="auto" w:fill="FFFFFF"/>
                <w:lang w:eastAsia="uk-UA"/>
              </w:rPr>
              <w:t>1</w:t>
            </w:r>
          </w:p>
        </w:tc>
        <w:tc>
          <w:tcPr>
            <w:tcW w:w="3210" w:type="dxa"/>
          </w:tcPr>
          <w:p w:rsidR="004E2982" w:rsidRDefault="004E2982" w:rsidP="005F4B1B">
            <w:pPr>
              <w:jc w:val="center"/>
              <w:rPr>
                <w:rFonts w:ascii="Arial" w:hAnsi="Arial" w:cs="Arial"/>
                <w:b/>
                <w:sz w:val="28"/>
              </w:rPr>
            </w:pPr>
            <w:r w:rsidRPr="004E2982">
              <w:rPr>
                <w:rFonts w:ascii="Arial" w:eastAsia="Times New Roman" w:hAnsi="Arial" w:cs="Arial"/>
                <w:color w:val="000000"/>
                <w:sz w:val="27"/>
                <w:szCs w:val="27"/>
                <w:shd w:val="clear" w:color="auto" w:fill="FFFFFF"/>
                <w:lang w:eastAsia="uk-UA"/>
              </w:rPr>
              <w:t xml:space="preserve">Відсутність </w:t>
            </w:r>
            <w:r>
              <w:rPr>
                <w:rFonts w:ascii="Arial" w:eastAsia="Times New Roman" w:hAnsi="Arial" w:cs="Arial"/>
                <w:color w:val="000000"/>
                <w:sz w:val="27"/>
                <w:szCs w:val="27"/>
                <w:shd w:val="clear" w:color="auto" w:fill="FFFFFF"/>
                <w:lang w:eastAsia="uk-UA"/>
              </w:rPr>
              <w:t xml:space="preserve">прозорий </w:t>
            </w:r>
            <w:r w:rsidRPr="004E2982">
              <w:rPr>
                <w:rFonts w:ascii="Arial" w:eastAsia="Times New Roman" w:hAnsi="Arial" w:cs="Arial"/>
                <w:color w:val="000000"/>
                <w:sz w:val="27"/>
                <w:szCs w:val="27"/>
                <w:shd w:val="clear" w:color="auto" w:fill="FFFFFF"/>
                <w:lang w:eastAsia="uk-UA"/>
              </w:rPr>
              <w:t>механізму для встановлення зарядних станцій на території Львівської міської територіальної громади</w:t>
            </w:r>
          </w:p>
        </w:tc>
      </w:tr>
      <w:tr w:rsidR="004E2982" w:rsidTr="00687939">
        <w:tc>
          <w:tcPr>
            <w:tcW w:w="3209" w:type="dxa"/>
          </w:tcPr>
          <w:p w:rsidR="004E2982" w:rsidRDefault="004E2982" w:rsidP="005F4B1B">
            <w:pPr>
              <w:jc w:val="center"/>
              <w:rPr>
                <w:rFonts w:ascii="Arial" w:hAnsi="Arial" w:cs="Arial"/>
                <w:b/>
                <w:sz w:val="28"/>
              </w:rPr>
            </w:pPr>
            <w:r w:rsidRPr="0031262E">
              <w:rPr>
                <w:rFonts w:ascii="Arial" w:hAnsi="Arial" w:cs="Arial"/>
                <w:sz w:val="28"/>
              </w:rPr>
              <w:t>Альтернатива 2</w:t>
            </w:r>
          </w:p>
        </w:tc>
        <w:tc>
          <w:tcPr>
            <w:tcW w:w="3210" w:type="dxa"/>
          </w:tcPr>
          <w:p w:rsidR="004E2982" w:rsidRDefault="004E2982" w:rsidP="005F4B1B">
            <w:pPr>
              <w:jc w:val="center"/>
              <w:rPr>
                <w:rFonts w:ascii="Arial" w:hAnsi="Arial" w:cs="Arial"/>
                <w:b/>
                <w:sz w:val="28"/>
              </w:rPr>
            </w:pPr>
            <w:r>
              <w:rPr>
                <w:rFonts w:ascii="Arial" w:hAnsi="Arial" w:cs="Arial"/>
                <w:sz w:val="28"/>
              </w:rPr>
              <w:t>4</w:t>
            </w:r>
          </w:p>
        </w:tc>
        <w:tc>
          <w:tcPr>
            <w:tcW w:w="3210" w:type="dxa"/>
          </w:tcPr>
          <w:p w:rsidR="004E2982" w:rsidRDefault="004E2982" w:rsidP="005F4B1B">
            <w:pPr>
              <w:jc w:val="center"/>
              <w:rPr>
                <w:rFonts w:ascii="Arial" w:hAnsi="Arial" w:cs="Arial"/>
                <w:b/>
                <w:sz w:val="28"/>
              </w:rPr>
            </w:pPr>
            <w:r w:rsidRPr="004E2982">
              <w:rPr>
                <w:rFonts w:ascii="Arial" w:eastAsia="Times New Roman" w:hAnsi="Arial" w:cs="Arial"/>
                <w:color w:val="000000"/>
                <w:sz w:val="27"/>
                <w:szCs w:val="27"/>
                <w:shd w:val="clear" w:color="auto" w:fill="FFFFFF"/>
                <w:lang w:eastAsia="uk-UA"/>
              </w:rPr>
              <w:t xml:space="preserve">Затвердження такого регуляторного </w:t>
            </w:r>
            <w:proofErr w:type="spellStart"/>
            <w:r w:rsidRPr="004E2982">
              <w:rPr>
                <w:rFonts w:ascii="Arial" w:eastAsia="Times New Roman" w:hAnsi="Arial" w:cs="Arial"/>
                <w:color w:val="000000"/>
                <w:sz w:val="27"/>
                <w:szCs w:val="27"/>
                <w:shd w:val="clear" w:color="auto" w:fill="FFFFFF"/>
                <w:lang w:eastAsia="uk-UA"/>
              </w:rPr>
              <w:t>акта</w:t>
            </w:r>
            <w:proofErr w:type="spellEnd"/>
            <w:r w:rsidRPr="004E2982">
              <w:rPr>
                <w:rFonts w:ascii="Arial" w:eastAsia="Times New Roman" w:hAnsi="Arial" w:cs="Arial"/>
                <w:color w:val="000000"/>
                <w:sz w:val="27"/>
                <w:szCs w:val="27"/>
                <w:shd w:val="clear" w:color="auto" w:fill="FFFFFF"/>
                <w:lang w:eastAsia="uk-UA"/>
              </w:rPr>
              <w:t xml:space="preserve"> забезпечить досягнення встановленої мети</w:t>
            </w:r>
          </w:p>
        </w:tc>
      </w:tr>
    </w:tbl>
    <w:p w:rsidR="004E2982" w:rsidRDefault="004E2982" w:rsidP="004E2982">
      <w:pPr>
        <w:spacing w:after="0" w:line="240" w:lineRule="auto"/>
        <w:jc w:val="both"/>
        <w:rPr>
          <w:rFonts w:ascii="Arial" w:hAnsi="Arial" w:cs="Arial"/>
          <w:sz w:val="28"/>
        </w:rPr>
      </w:pPr>
    </w:p>
    <w:p w:rsidR="004E2982" w:rsidRDefault="004E2982" w:rsidP="004E2982">
      <w:pPr>
        <w:spacing w:after="0" w:line="240" w:lineRule="auto"/>
        <w:jc w:val="both"/>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6. Механізм, який пропонується застосувати для розв’язання проблеми</w:t>
      </w:r>
    </w:p>
    <w:p w:rsidR="004E2982" w:rsidRDefault="004E2982" w:rsidP="004E2982">
      <w:pPr>
        <w:spacing w:after="0" w:line="240" w:lineRule="auto"/>
        <w:jc w:val="both"/>
        <w:rPr>
          <w:rFonts w:ascii="Arial" w:hAnsi="Arial" w:cs="Arial"/>
          <w:b/>
          <w:bCs/>
          <w:color w:val="000000"/>
          <w:sz w:val="27"/>
          <w:szCs w:val="27"/>
          <w:shd w:val="clear" w:color="auto" w:fill="FFFFFF"/>
        </w:rPr>
      </w:pP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Механізм, що забезпечує необхідні передумови для встановлення зарядних станцій для електротранспорту на території Львівської міської територіальної громади передбачає:</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визначення суб'єкта, що здійснюватиме облаштування та обслуговування станції зарядки електротранспорту, його права та обов’язки;</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вимоги до розміщення станцій зарядки електротранспорту і їх функціонування в комерційних та/або некомерційних цілях;</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xml:space="preserve">● особливості проведення </w:t>
      </w:r>
      <w:r w:rsidR="0028329D">
        <w:rPr>
          <w:rFonts w:ascii="Arial" w:hAnsi="Arial" w:cs="Arial"/>
          <w:sz w:val="28"/>
        </w:rPr>
        <w:t>к</w:t>
      </w:r>
      <w:r w:rsidR="0028329D" w:rsidRPr="0028329D">
        <w:rPr>
          <w:rFonts w:ascii="Arial" w:hAnsi="Arial" w:cs="Arial"/>
          <w:sz w:val="28"/>
        </w:rPr>
        <w:t>онкурс</w:t>
      </w:r>
      <w:r w:rsidR="0028329D">
        <w:rPr>
          <w:rFonts w:ascii="Arial" w:hAnsi="Arial" w:cs="Arial"/>
          <w:sz w:val="28"/>
        </w:rPr>
        <w:t>у</w:t>
      </w:r>
      <w:r w:rsidR="0028329D" w:rsidRPr="0028329D">
        <w:rPr>
          <w:rFonts w:ascii="Arial" w:hAnsi="Arial" w:cs="Arial"/>
          <w:sz w:val="28"/>
        </w:rPr>
        <w:t xml:space="preserve"> з визначення суб'єкта, що здійснюватиме облаштування та обслуговування станції зарядки електротранспорту</w:t>
      </w:r>
      <w:r w:rsidRPr="0028329D">
        <w:rPr>
          <w:rFonts w:ascii="Arial" w:hAnsi="Arial" w:cs="Arial"/>
          <w:sz w:val="28"/>
        </w:rPr>
        <w:t>.</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xml:space="preserve">На досягнення визначених цілей у разі прийняття регуляторного </w:t>
      </w:r>
      <w:proofErr w:type="spellStart"/>
      <w:r w:rsidRPr="004E2982">
        <w:rPr>
          <w:rFonts w:ascii="Arial" w:hAnsi="Arial" w:cs="Arial"/>
          <w:sz w:val="28"/>
        </w:rPr>
        <w:t>акта</w:t>
      </w:r>
      <w:proofErr w:type="spellEnd"/>
      <w:r w:rsidRPr="004E2982">
        <w:rPr>
          <w:rFonts w:ascii="Arial" w:hAnsi="Arial" w:cs="Arial"/>
          <w:sz w:val="28"/>
        </w:rPr>
        <w:t xml:space="preserve"> можуть впливати наступні зовнішні фактори:</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етапи встановлення зарядних станцій для електротранспорту на території Львівської міської територіальної громади;</w:t>
      </w:r>
    </w:p>
    <w:p w:rsidR="004E2982" w:rsidRPr="004E2982" w:rsidRDefault="004E2982" w:rsidP="004E2982">
      <w:pPr>
        <w:spacing w:after="0" w:line="240" w:lineRule="auto"/>
        <w:jc w:val="both"/>
        <w:rPr>
          <w:rFonts w:ascii="Arial" w:hAnsi="Arial" w:cs="Arial"/>
          <w:sz w:val="28"/>
        </w:rPr>
      </w:pPr>
      <w:r w:rsidRPr="004E2982">
        <w:rPr>
          <w:rFonts w:ascii="Arial" w:hAnsi="Arial" w:cs="Arial"/>
          <w:sz w:val="28"/>
        </w:rPr>
        <w:t>● рівень зацікавленості громадськості щодо реалізації інноваційних рішень;</w:t>
      </w:r>
    </w:p>
    <w:p w:rsidR="004E2982" w:rsidRDefault="004E2982" w:rsidP="004E2982">
      <w:pPr>
        <w:spacing w:after="0" w:line="240" w:lineRule="auto"/>
        <w:jc w:val="both"/>
        <w:rPr>
          <w:rFonts w:ascii="Arial" w:hAnsi="Arial" w:cs="Arial"/>
          <w:sz w:val="28"/>
        </w:rPr>
      </w:pPr>
      <w:r w:rsidRPr="004E2982">
        <w:rPr>
          <w:rFonts w:ascii="Arial" w:hAnsi="Arial" w:cs="Arial"/>
          <w:sz w:val="28"/>
        </w:rPr>
        <w:t xml:space="preserve">Регуляторний акт має місцевий характер впливу. Прийняття зазначеного </w:t>
      </w:r>
      <w:proofErr w:type="spellStart"/>
      <w:r w:rsidRPr="004E2982">
        <w:rPr>
          <w:rFonts w:ascii="Arial" w:hAnsi="Arial" w:cs="Arial"/>
          <w:sz w:val="28"/>
        </w:rPr>
        <w:t>проєкту</w:t>
      </w:r>
      <w:proofErr w:type="spellEnd"/>
      <w:r w:rsidRPr="004E2982">
        <w:rPr>
          <w:rFonts w:ascii="Arial" w:hAnsi="Arial" w:cs="Arial"/>
          <w:sz w:val="28"/>
        </w:rPr>
        <w:t xml:space="preserve"> ухвали забезпечить прозорий та узгоджений порядок встановлення </w:t>
      </w:r>
      <w:proofErr w:type="spellStart"/>
      <w:r w:rsidRPr="004E2982">
        <w:rPr>
          <w:rFonts w:ascii="Arial" w:hAnsi="Arial" w:cs="Arial"/>
          <w:sz w:val="28"/>
        </w:rPr>
        <w:t>електрозарядних</w:t>
      </w:r>
      <w:proofErr w:type="spellEnd"/>
      <w:r w:rsidRPr="004E2982">
        <w:rPr>
          <w:rFonts w:ascii="Arial" w:hAnsi="Arial" w:cs="Arial"/>
          <w:sz w:val="28"/>
        </w:rPr>
        <w:t xml:space="preserve"> пристроїв та </w:t>
      </w:r>
      <w:proofErr w:type="spellStart"/>
      <w:r w:rsidRPr="004E2982">
        <w:rPr>
          <w:rFonts w:ascii="Arial" w:hAnsi="Arial" w:cs="Arial"/>
          <w:sz w:val="28"/>
        </w:rPr>
        <w:t>електрозарядних</w:t>
      </w:r>
      <w:proofErr w:type="spellEnd"/>
      <w:r w:rsidRPr="004E2982">
        <w:rPr>
          <w:rFonts w:ascii="Arial" w:hAnsi="Arial" w:cs="Arial"/>
          <w:sz w:val="28"/>
        </w:rPr>
        <w:t xml:space="preserve"> станцій. Метою регуляторного </w:t>
      </w:r>
      <w:proofErr w:type="spellStart"/>
      <w:r w:rsidRPr="004E2982">
        <w:rPr>
          <w:rFonts w:ascii="Arial" w:hAnsi="Arial" w:cs="Arial"/>
          <w:sz w:val="28"/>
        </w:rPr>
        <w:t>акта</w:t>
      </w:r>
      <w:proofErr w:type="spellEnd"/>
      <w:r w:rsidRPr="004E2982">
        <w:rPr>
          <w:rFonts w:ascii="Arial" w:hAnsi="Arial" w:cs="Arial"/>
          <w:sz w:val="28"/>
        </w:rPr>
        <w:t xml:space="preserve"> є </w:t>
      </w:r>
      <w:r w:rsidR="0028329D">
        <w:rPr>
          <w:rFonts w:ascii="Arial" w:hAnsi="Arial" w:cs="Arial"/>
          <w:sz w:val="28"/>
        </w:rPr>
        <w:t xml:space="preserve">запровадження конкурсу </w:t>
      </w:r>
      <w:r w:rsidR="0028329D" w:rsidRPr="0028329D">
        <w:rPr>
          <w:rFonts w:ascii="Arial" w:hAnsi="Arial" w:cs="Arial"/>
          <w:sz w:val="28"/>
        </w:rPr>
        <w:t xml:space="preserve">з визначення </w:t>
      </w:r>
      <w:r w:rsidR="0028329D" w:rsidRPr="0028329D">
        <w:rPr>
          <w:rFonts w:ascii="Arial" w:hAnsi="Arial" w:cs="Arial"/>
          <w:sz w:val="28"/>
        </w:rPr>
        <w:lastRenderedPageBreak/>
        <w:t>суб'єкта, що здійснюватиме облаштування та обслуговування станції зарядки елек</w:t>
      </w:r>
      <w:bookmarkStart w:id="0" w:name="_GoBack"/>
      <w:bookmarkEnd w:id="0"/>
      <w:r w:rsidR="0028329D" w:rsidRPr="0028329D">
        <w:rPr>
          <w:rFonts w:ascii="Arial" w:hAnsi="Arial" w:cs="Arial"/>
          <w:sz w:val="28"/>
        </w:rPr>
        <w:t>тротранспорту</w:t>
      </w:r>
      <w:r w:rsidRPr="0028329D">
        <w:rPr>
          <w:rFonts w:ascii="Arial" w:hAnsi="Arial" w:cs="Arial"/>
          <w:sz w:val="28"/>
        </w:rPr>
        <w:t>.</w:t>
      </w:r>
    </w:p>
    <w:p w:rsidR="0028329D" w:rsidRDefault="0028329D" w:rsidP="004E2982">
      <w:pPr>
        <w:spacing w:after="0" w:line="240" w:lineRule="auto"/>
        <w:jc w:val="both"/>
        <w:rPr>
          <w:rFonts w:ascii="Arial" w:hAnsi="Arial" w:cs="Arial"/>
          <w:sz w:val="28"/>
        </w:rPr>
      </w:pPr>
    </w:p>
    <w:p w:rsidR="0028329D" w:rsidRDefault="0028329D" w:rsidP="004E2982">
      <w:pPr>
        <w:spacing w:after="0" w:line="240" w:lineRule="auto"/>
        <w:jc w:val="both"/>
        <w:rPr>
          <w:rFonts w:ascii="Arial" w:hAnsi="Arial" w:cs="Arial"/>
          <w:b/>
          <w:bCs/>
          <w:color w:val="000000"/>
          <w:sz w:val="27"/>
          <w:szCs w:val="27"/>
          <w:shd w:val="clear" w:color="auto" w:fill="FFFFFF"/>
        </w:rPr>
      </w:pPr>
      <w:r w:rsidRPr="0028329D">
        <w:rPr>
          <w:rFonts w:ascii="Arial" w:hAnsi="Arial" w:cs="Arial"/>
          <w:b/>
          <w:bCs/>
          <w:color w:val="000000"/>
          <w:sz w:val="27"/>
          <w:szCs w:val="27"/>
          <w:shd w:val="clear" w:color="auto" w:fill="FFFFFF"/>
        </w:rPr>
        <w:t>7. 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28329D" w:rsidRDefault="0028329D" w:rsidP="004E2982">
      <w:pPr>
        <w:spacing w:after="0" w:line="240" w:lineRule="auto"/>
        <w:jc w:val="both"/>
        <w:rPr>
          <w:rFonts w:ascii="Arial" w:hAnsi="Arial" w:cs="Arial"/>
          <w:b/>
          <w:bCs/>
          <w:color w:val="000000"/>
          <w:sz w:val="27"/>
          <w:szCs w:val="27"/>
          <w:shd w:val="clear" w:color="auto" w:fill="FFFFFF"/>
        </w:rPr>
      </w:pPr>
    </w:p>
    <w:p w:rsidR="0032028B" w:rsidRPr="0032028B" w:rsidRDefault="0032028B" w:rsidP="0032028B">
      <w:pPr>
        <w:spacing w:after="0" w:line="240" w:lineRule="auto"/>
        <w:jc w:val="both"/>
        <w:rPr>
          <w:rFonts w:ascii="Arial" w:hAnsi="Arial" w:cs="Arial"/>
          <w:sz w:val="28"/>
        </w:rPr>
      </w:pPr>
      <w:r w:rsidRPr="0032028B">
        <w:rPr>
          <w:rFonts w:ascii="Arial" w:hAnsi="Arial" w:cs="Arial"/>
          <w:sz w:val="28"/>
        </w:rPr>
        <w:t xml:space="preserve">Очікуваними результатами прийняття регуляторного </w:t>
      </w:r>
      <w:proofErr w:type="spellStart"/>
      <w:r w:rsidRPr="0032028B">
        <w:rPr>
          <w:rFonts w:ascii="Arial" w:hAnsi="Arial" w:cs="Arial"/>
          <w:sz w:val="28"/>
        </w:rPr>
        <w:t>акта</w:t>
      </w:r>
      <w:proofErr w:type="spellEnd"/>
      <w:r w:rsidRPr="0032028B">
        <w:rPr>
          <w:rFonts w:ascii="Arial" w:hAnsi="Arial" w:cs="Arial"/>
          <w:sz w:val="28"/>
        </w:rPr>
        <w:t xml:space="preserve"> є досягнення у повному обсязі, визначених цілей та відповідно </w:t>
      </w:r>
      <w:r w:rsidR="009D5B6A">
        <w:rPr>
          <w:rFonts w:ascii="Arial" w:hAnsi="Arial" w:cs="Arial"/>
          <w:sz w:val="28"/>
        </w:rPr>
        <w:t>покращення</w:t>
      </w:r>
      <w:r w:rsidRPr="0032028B">
        <w:rPr>
          <w:rFonts w:ascii="Arial" w:hAnsi="Arial" w:cs="Arial"/>
          <w:sz w:val="28"/>
        </w:rPr>
        <w:t xml:space="preserve"> умов для встановлення зарядних станцій для електротранспорту на території Львівської міської територіальної громади.</w:t>
      </w:r>
    </w:p>
    <w:p w:rsidR="0032028B" w:rsidRDefault="0032028B" w:rsidP="0032028B">
      <w:pPr>
        <w:spacing w:after="0" w:line="240" w:lineRule="auto"/>
        <w:jc w:val="both"/>
        <w:rPr>
          <w:rFonts w:ascii="Arial" w:hAnsi="Arial" w:cs="Arial"/>
          <w:sz w:val="28"/>
        </w:rPr>
      </w:pPr>
      <w:r w:rsidRPr="0032028B">
        <w:rPr>
          <w:rFonts w:ascii="Arial" w:hAnsi="Arial" w:cs="Arial"/>
          <w:sz w:val="28"/>
        </w:rPr>
        <w:t xml:space="preserve">В свою чергу, </w:t>
      </w:r>
      <w:r w:rsidR="00BF3E27">
        <w:rPr>
          <w:rFonts w:ascii="Arial" w:hAnsi="Arial" w:cs="Arial"/>
          <w:sz w:val="28"/>
        </w:rPr>
        <w:t>впровадження конкурсних засад</w:t>
      </w:r>
      <w:r w:rsidR="00BF3E27" w:rsidRPr="00BF3E27">
        <w:rPr>
          <w:rFonts w:ascii="Arial" w:hAnsi="Arial" w:cs="Arial"/>
          <w:sz w:val="28"/>
        </w:rPr>
        <w:t xml:space="preserve"> для визначення найкращого суб’єкта, що здійснюватиме облаштування та обслуговування станції зарядки електротранспорту </w:t>
      </w:r>
      <w:r w:rsidRPr="0032028B">
        <w:rPr>
          <w:rFonts w:ascii="Arial" w:hAnsi="Arial" w:cs="Arial"/>
          <w:sz w:val="28"/>
        </w:rPr>
        <w:t>забезпечить наступні вигоди:</w:t>
      </w:r>
    </w:p>
    <w:p w:rsidR="00BF3E27" w:rsidRDefault="00BF3E27" w:rsidP="00BF3E27">
      <w:pPr>
        <w:spacing w:after="0" w:line="240" w:lineRule="auto"/>
        <w:jc w:val="both"/>
        <w:rPr>
          <w:rFonts w:ascii="Arial" w:hAnsi="Arial" w:cs="Arial"/>
          <w:sz w:val="28"/>
        </w:rPr>
      </w:pPr>
      <w:r>
        <w:rPr>
          <w:rFonts w:ascii="Arial" w:hAnsi="Arial" w:cs="Arial"/>
          <w:sz w:val="28"/>
        </w:rPr>
        <w:t>- Прозорість та доброчесність. Забезпечення</w:t>
      </w:r>
      <w:r w:rsidRPr="00BF3E27">
        <w:rPr>
          <w:rFonts w:ascii="Arial" w:hAnsi="Arial" w:cs="Arial"/>
          <w:sz w:val="28"/>
        </w:rPr>
        <w:t xml:space="preserve"> чесної конкуренції та рівни</w:t>
      </w:r>
      <w:r w:rsidR="005B5BA5">
        <w:rPr>
          <w:rFonts w:ascii="Arial" w:hAnsi="Arial" w:cs="Arial"/>
          <w:sz w:val="28"/>
        </w:rPr>
        <w:t>х умов для всіх учасників ринку;</w:t>
      </w:r>
    </w:p>
    <w:p w:rsidR="00BF3E27" w:rsidRDefault="00BF3E27" w:rsidP="00BF3E27">
      <w:pPr>
        <w:spacing w:after="0" w:line="240" w:lineRule="auto"/>
        <w:jc w:val="both"/>
        <w:rPr>
          <w:rFonts w:ascii="Arial" w:hAnsi="Arial" w:cs="Arial"/>
          <w:sz w:val="28"/>
        </w:rPr>
      </w:pPr>
      <w:r>
        <w:rPr>
          <w:rFonts w:ascii="Arial" w:hAnsi="Arial" w:cs="Arial"/>
          <w:sz w:val="28"/>
        </w:rPr>
        <w:t xml:space="preserve">- Якість та </w:t>
      </w:r>
      <w:proofErr w:type="spellStart"/>
      <w:r>
        <w:rPr>
          <w:rFonts w:ascii="Arial" w:hAnsi="Arial" w:cs="Arial"/>
          <w:sz w:val="28"/>
        </w:rPr>
        <w:t>інноваційність</w:t>
      </w:r>
      <w:proofErr w:type="spellEnd"/>
      <w:r>
        <w:rPr>
          <w:rFonts w:ascii="Arial" w:hAnsi="Arial" w:cs="Arial"/>
          <w:sz w:val="28"/>
        </w:rPr>
        <w:t xml:space="preserve"> рішень. </w:t>
      </w:r>
      <w:r w:rsidRPr="00BF3E27">
        <w:rPr>
          <w:rFonts w:ascii="Arial" w:hAnsi="Arial" w:cs="Arial"/>
          <w:sz w:val="28"/>
        </w:rPr>
        <w:t xml:space="preserve">Стимулювання учасників пропонувати найсучасніші, надійні та ефективні </w:t>
      </w:r>
      <w:r w:rsidR="005B5BA5">
        <w:rPr>
          <w:rFonts w:ascii="Arial" w:hAnsi="Arial" w:cs="Arial"/>
          <w:sz w:val="28"/>
        </w:rPr>
        <w:t>технології для зарядних станцій;</w:t>
      </w:r>
    </w:p>
    <w:p w:rsidR="00BF3E27" w:rsidRDefault="00BF3E27" w:rsidP="00BF3E27">
      <w:pPr>
        <w:spacing w:after="0" w:line="240" w:lineRule="auto"/>
        <w:jc w:val="both"/>
        <w:rPr>
          <w:rFonts w:ascii="Arial" w:hAnsi="Arial" w:cs="Arial"/>
          <w:sz w:val="28"/>
        </w:rPr>
      </w:pPr>
      <w:r>
        <w:rPr>
          <w:rFonts w:ascii="Arial" w:hAnsi="Arial" w:cs="Arial"/>
          <w:sz w:val="28"/>
        </w:rPr>
        <w:t xml:space="preserve">- </w:t>
      </w:r>
      <w:r w:rsidRPr="00BF3E27">
        <w:rPr>
          <w:rFonts w:ascii="Arial" w:hAnsi="Arial" w:cs="Arial"/>
          <w:sz w:val="28"/>
        </w:rPr>
        <w:t>Економічна ефе</w:t>
      </w:r>
      <w:r>
        <w:rPr>
          <w:rFonts w:ascii="Arial" w:hAnsi="Arial" w:cs="Arial"/>
          <w:sz w:val="28"/>
        </w:rPr>
        <w:t xml:space="preserve">ктивність та вигода для громади. </w:t>
      </w:r>
      <w:r w:rsidRPr="00BF3E27">
        <w:rPr>
          <w:rFonts w:ascii="Arial" w:hAnsi="Arial" w:cs="Arial"/>
          <w:sz w:val="28"/>
        </w:rPr>
        <w:t>Раціональне та ефективне використання земельни</w:t>
      </w:r>
      <w:r w:rsidR="005B5BA5">
        <w:rPr>
          <w:rFonts w:ascii="Arial" w:hAnsi="Arial" w:cs="Arial"/>
          <w:sz w:val="28"/>
        </w:rPr>
        <w:t>х ділянок комунальної власності;</w:t>
      </w:r>
    </w:p>
    <w:p w:rsidR="0032028B" w:rsidRPr="0032028B" w:rsidRDefault="005B5BA5" w:rsidP="0032028B">
      <w:pPr>
        <w:spacing w:after="0" w:line="240" w:lineRule="auto"/>
        <w:jc w:val="both"/>
        <w:rPr>
          <w:rFonts w:ascii="Arial" w:hAnsi="Arial" w:cs="Arial"/>
          <w:sz w:val="28"/>
        </w:rPr>
      </w:pPr>
      <w:r>
        <w:rPr>
          <w:rFonts w:ascii="Arial" w:hAnsi="Arial" w:cs="Arial"/>
          <w:sz w:val="28"/>
        </w:rPr>
        <w:t>- П</w:t>
      </w:r>
      <w:r w:rsidR="0032028B" w:rsidRPr="0032028B">
        <w:rPr>
          <w:rFonts w:ascii="Arial" w:hAnsi="Arial" w:cs="Arial"/>
          <w:sz w:val="28"/>
        </w:rPr>
        <w:t>ідвищення рівня економіки;</w:t>
      </w:r>
    </w:p>
    <w:p w:rsidR="0032028B" w:rsidRPr="0032028B" w:rsidRDefault="005B5BA5" w:rsidP="0032028B">
      <w:pPr>
        <w:spacing w:after="0" w:line="240" w:lineRule="auto"/>
        <w:jc w:val="both"/>
        <w:rPr>
          <w:rFonts w:ascii="Arial" w:hAnsi="Arial" w:cs="Arial"/>
          <w:sz w:val="28"/>
        </w:rPr>
      </w:pPr>
      <w:r>
        <w:rPr>
          <w:rFonts w:ascii="Arial" w:hAnsi="Arial" w:cs="Arial"/>
          <w:sz w:val="28"/>
        </w:rPr>
        <w:t>- З</w:t>
      </w:r>
      <w:r w:rsidR="0032028B" w:rsidRPr="0032028B">
        <w:rPr>
          <w:rFonts w:ascii="Arial" w:hAnsi="Arial" w:cs="Arial"/>
          <w:sz w:val="28"/>
        </w:rPr>
        <w:t>більшення можливостей для розбудови інфраструктури та мережі зарядних станцій для електротранспорту у Львівській міській територіальній громаді;</w:t>
      </w:r>
    </w:p>
    <w:p w:rsidR="0032028B" w:rsidRDefault="005B5BA5" w:rsidP="0032028B">
      <w:pPr>
        <w:spacing w:after="0" w:line="240" w:lineRule="auto"/>
        <w:jc w:val="both"/>
        <w:rPr>
          <w:rFonts w:ascii="Arial" w:hAnsi="Arial" w:cs="Arial"/>
          <w:sz w:val="28"/>
        </w:rPr>
      </w:pPr>
      <w:r>
        <w:rPr>
          <w:rFonts w:ascii="Arial" w:hAnsi="Arial" w:cs="Arial"/>
          <w:sz w:val="28"/>
        </w:rPr>
        <w:t>- П</w:t>
      </w:r>
      <w:r w:rsidR="0032028B" w:rsidRPr="0032028B">
        <w:rPr>
          <w:rFonts w:ascii="Arial" w:hAnsi="Arial" w:cs="Arial"/>
          <w:sz w:val="28"/>
        </w:rPr>
        <w:t>ідвищення туристичної привабливості міста Львова</w:t>
      </w:r>
      <w:r>
        <w:rPr>
          <w:rFonts w:ascii="Arial" w:hAnsi="Arial" w:cs="Arial"/>
          <w:sz w:val="28"/>
        </w:rPr>
        <w:t>.</w:t>
      </w:r>
    </w:p>
    <w:p w:rsidR="005B5BA5" w:rsidRDefault="005B5BA5" w:rsidP="0032028B">
      <w:pPr>
        <w:spacing w:after="0" w:line="240" w:lineRule="auto"/>
        <w:jc w:val="both"/>
        <w:rPr>
          <w:rFonts w:ascii="Arial" w:hAnsi="Arial" w:cs="Arial"/>
          <w:sz w:val="28"/>
        </w:rPr>
      </w:pPr>
    </w:p>
    <w:p w:rsidR="005B5BA5" w:rsidRPr="005B5BA5" w:rsidRDefault="005B5BA5" w:rsidP="005B5BA5">
      <w:pPr>
        <w:spacing w:after="0" w:line="240" w:lineRule="auto"/>
        <w:jc w:val="both"/>
        <w:rPr>
          <w:rFonts w:ascii="Arial" w:hAnsi="Arial" w:cs="Arial"/>
          <w:b/>
          <w:bCs/>
          <w:color w:val="000000"/>
          <w:sz w:val="27"/>
          <w:szCs w:val="27"/>
          <w:shd w:val="clear" w:color="auto" w:fill="FFFFFF"/>
        </w:rPr>
      </w:pPr>
      <w:r w:rsidRPr="005B5BA5">
        <w:rPr>
          <w:rFonts w:ascii="Arial" w:hAnsi="Arial" w:cs="Arial"/>
          <w:b/>
          <w:bCs/>
          <w:color w:val="000000"/>
          <w:sz w:val="27"/>
          <w:szCs w:val="27"/>
          <w:shd w:val="clear" w:color="auto" w:fill="FFFFFF"/>
        </w:rPr>
        <w:t>8. Визначення показників результативності дії регуляторного акту</w:t>
      </w:r>
    </w:p>
    <w:p w:rsidR="005B5BA5" w:rsidRPr="005B5BA5" w:rsidRDefault="005B5BA5" w:rsidP="005B5BA5">
      <w:pPr>
        <w:spacing w:after="0" w:line="240" w:lineRule="auto"/>
        <w:jc w:val="both"/>
        <w:rPr>
          <w:rFonts w:ascii="Arial" w:hAnsi="Arial" w:cs="Arial"/>
          <w:sz w:val="28"/>
        </w:rPr>
      </w:pP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Базове відстеження здійснюватиметься до дня набрання чинності проекту регуляторного акту шляхом аналізу зауважень та пропозицій, які надійшли від фізичних та юридичних осіб до проекту рішення.</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Повторне відстеження здійснюватиметься через рік після набрання чинності проекту регуляторного акту, але не пізніше ніж через два роки.</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Проведення відстеження результативності буде здійснюватися за допомогою статистичного методу та буде проводитись за допомогою статистичних даних.</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У разі виявлення неврегульованих та проблемних моментів шляхом проведення аналізу показників дії цього акту, ці моменти буде виправлено внесенням відповідних змін.</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t>Аналіз регуляторного впливу підготовлений департаментом міської мобільності та вуличної інфраструктури Львівської міської ради.</w:t>
      </w:r>
    </w:p>
    <w:p w:rsidR="005B5BA5" w:rsidRPr="005B5BA5" w:rsidRDefault="005B5BA5" w:rsidP="005B5BA5">
      <w:pPr>
        <w:spacing w:after="0" w:line="240" w:lineRule="auto"/>
        <w:jc w:val="both"/>
        <w:rPr>
          <w:rFonts w:ascii="Arial" w:hAnsi="Arial" w:cs="Arial"/>
          <w:sz w:val="28"/>
        </w:rPr>
      </w:pPr>
      <w:r w:rsidRPr="005B5BA5">
        <w:rPr>
          <w:rFonts w:ascii="Arial" w:hAnsi="Arial" w:cs="Arial"/>
          <w:sz w:val="28"/>
        </w:rPr>
        <w:lastRenderedPageBreak/>
        <w:t xml:space="preserve">Зауваження та пропозиції будуть прийматись у письмовій формі протягом місяця з дня опублікування на сайті ЛМР проекту регуляторного </w:t>
      </w:r>
      <w:proofErr w:type="spellStart"/>
      <w:r w:rsidRPr="005B5BA5">
        <w:rPr>
          <w:rFonts w:ascii="Arial" w:hAnsi="Arial" w:cs="Arial"/>
          <w:sz w:val="28"/>
        </w:rPr>
        <w:t>акта</w:t>
      </w:r>
      <w:proofErr w:type="spellEnd"/>
      <w:r w:rsidRPr="005B5BA5">
        <w:rPr>
          <w:rFonts w:ascii="Arial" w:hAnsi="Arial" w:cs="Arial"/>
          <w:sz w:val="28"/>
        </w:rPr>
        <w:t xml:space="preserve"> та аналізу регуляторного впливу до нього за </w:t>
      </w:r>
      <w:proofErr w:type="spellStart"/>
      <w:r w:rsidRPr="005B5BA5">
        <w:rPr>
          <w:rFonts w:ascii="Arial" w:hAnsi="Arial" w:cs="Arial"/>
          <w:sz w:val="28"/>
        </w:rPr>
        <w:t>адресою</w:t>
      </w:r>
      <w:proofErr w:type="spellEnd"/>
      <w:r w:rsidRPr="005B5BA5">
        <w:rPr>
          <w:rFonts w:ascii="Arial" w:hAnsi="Arial" w:cs="Arial"/>
          <w:sz w:val="28"/>
        </w:rPr>
        <w:t>: 79008, м. Л</w:t>
      </w:r>
      <w:r w:rsidR="009C7B99">
        <w:rPr>
          <w:rFonts w:ascii="Arial" w:hAnsi="Arial" w:cs="Arial"/>
          <w:sz w:val="28"/>
        </w:rPr>
        <w:t xml:space="preserve">ьвів, </w:t>
      </w:r>
      <w:proofErr w:type="spellStart"/>
      <w:r w:rsidR="009C7B99">
        <w:rPr>
          <w:rFonts w:ascii="Arial" w:hAnsi="Arial" w:cs="Arial"/>
          <w:sz w:val="28"/>
        </w:rPr>
        <w:t>пл</w:t>
      </w:r>
      <w:proofErr w:type="spellEnd"/>
      <w:r w:rsidR="009C7B99">
        <w:rPr>
          <w:rFonts w:ascii="Arial" w:hAnsi="Arial" w:cs="Arial"/>
          <w:sz w:val="28"/>
        </w:rPr>
        <w:t xml:space="preserve">. Ринок, 1, </w:t>
      </w:r>
      <w:proofErr w:type="spellStart"/>
      <w:r w:rsidR="009C7B99">
        <w:rPr>
          <w:rFonts w:ascii="Arial" w:hAnsi="Arial" w:cs="Arial"/>
          <w:sz w:val="28"/>
        </w:rPr>
        <w:t>тел</w:t>
      </w:r>
      <w:proofErr w:type="spellEnd"/>
      <w:r w:rsidR="009C7B99">
        <w:rPr>
          <w:rFonts w:ascii="Arial" w:hAnsi="Arial" w:cs="Arial"/>
          <w:sz w:val="28"/>
        </w:rPr>
        <w:t>. 297</w:t>
      </w:r>
      <w:r w:rsidR="00E76F91">
        <w:rPr>
          <w:rFonts w:ascii="Arial" w:hAnsi="Arial" w:cs="Arial"/>
          <w:sz w:val="28"/>
        </w:rPr>
        <w:t>-</w:t>
      </w:r>
      <w:r w:rsidR="009C7B99">
        <w:rPr>
          <w:rFonts w:ascii="Arial" w:hAnsi="Arial" w:cs="Arial"/>
          <w:sz w:val="28"/>
        </w:rPr>
        <w:t>58</w:t>
      </w:r>
      <w:r w:rsidR="00E76F91">
        <w:rPr>
          <w:rFonts w:ascii="Arial" w:hAnsi="Arial" w:cs="Arial"/>
          <w:sz w:val="28"/>
        </w:rPr>
        <w:t>-</w:t>
      </w:r>
      <w:r w:rsidR="009C7B99">
        <w:rPr>
          <w:rFonts w:ascii="Arial" w:hAnsi="Arial" w:cs="Arial"/>
          <w:sz w:val="28"/>
        </w:rPr>
        <w:t>62</w:t>
      </w:r>
      <w:r w:rsidRPr="005B5BA5">
        <w:rPr>
          <w:rFonts w:ascii="Arial" w:hAnsi="Arial" w:cs="Arial"/>
          <w:sz w:val="28"/>
        </w:rPr>
        <w:t xml:space="preserve">, </w:t>
      </w:r>
      <w:proofErr w:type="spellStart"/>
      <w:r w:rsidRPr="005B5BA5">
        <w:rPr>
          <w:rFonts w:ascii="Arial" w:hAnsi="Arial" w:cs="Arial"/>
          <w:sz w:val="28"/>
        </w:rPr>
        <w:t>ел</w:t>
      </w:r>
      <w:proofErr w:type="spellEnd"/>
      <w:r w:rsidRPr="005B5BA5">
        <w:rPr>
          <w:rFonts w:ascii="Arial" w:hAnsi="Arial" w:cs="Arial"/>
          <w:sz w:val="28"/>
        </w:rPr>
        <w:t xml:space="preserve">. пошта: </w:t>
      </w:r>
      <w:r w:rsidR="00E76F91" w:rsidRPr="00E76F91">
        <w:rPr>
          <w:rFonts w:ascii="Arial" w:hAnsi="Arial" w:cs="Arial"/>
          <w:sz w:val="28"/>
        </w:rPr>
        <w:t>uvilvivcity@gov.ua</w:t>
      </w:r>
      <w:r w:rsidRPr="005B5BA5">
        <w:rPr>
          <w:rFonts w:ascii="Arial" w:hAnsi="Arial" w:cs="Arial"/>
          <w:sz w:val="28"/>
        </w:rPr>
        <w:t>.</w:t>
      </w:r>
    </w:p>
    <w:p w:rsidR="005B5BA5" w:rsidRDefault="005B5BA5" w:rsidP="005B5BA5">
      <w:pPr>
        <w:spacing w:after="0" w:line="240" w:lineRule="auto"/>
        <w:jc w:val="both"/>
        <w:rPr>
          <w:rFonts w:ascii="Arial" w:hAnsi="Arial" w:cs="Arial"/>
          <w:sz w:val="28"/>
        </w:rPr>
      </w:pPr>
      <w:r w:rsidRPr="005B5BA5">
        <w:rPr>
          <w:rFonts w:ascii="Arial" w:hAnsi="Arial" w:cs="Arial"/>
          <w:sz w:val="28"/>
        </w:rPr>
        <w:t xml:space="preserve">Проект рішення та аналіз регуляторного впливу розміщені на </w:t>
      </w:r>
      <w:proofErr w:type="spellStart"/>
      <w:r w:rsidRPr="005B5BA5">
        <w:rPr>
          <w:rFonts w:ascii="Arial" w:hAnsi="Arial" w:cs="Arial"/>
          <w:sz w:val="28"/>
        </w:rPr>
        <w:t>Web</w:t>
      </w:r>
      <w:proofErr w:type="spellEnd"/>
      <w:r w:rsidRPr="005B5BA5">
        <w:rPr>
          <w:rFonts w:ascii="Arial" w:hAnsi="Arial" w:cs="Arial"/>
          <w:sz w:val="28"/>
        </w:rPr>
        <w:t>-сторінці Львівської міської ради у розділі "Економіка"/"Регуляторна політика".</w:t>
      </w:r>
    </w:p>
    <w:p w:rsidR="009C7B99" w:rsidRDefault="009C7B99" w:rsidP="005B5BA5">
      <w:pPr>
        <w:spacing w:after="0" w:line="240" w:lineRule="auto"/>
        <w:jc w:val="both"/>
        <w:rPr>
          <w:rFonts w:ascii="Arial" w:hAnsi="Arial" w:cs="Arial"/>
          <w:sz w:val="28"/>
        </w:rPr>
      </w:pPr>
    </w:p>
    <w:sectPr w:rsidR="009C7B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C7"/>
    <w:rsid w:val="00167F41"/>
    <w:rsid w:val="001E51EC"/>
    <w:rsid w:val="0028329D"/>
    <w:rsid w:val="0031262E"/>
    <w:rsid w:val="0032028B"/>
    <w:rsid w:val="0036461B"/>
    <w:rsid w:val="003E1D22"/>
    <w:rsid w:val="0043643A"/>
    <w:rsid w:val="004E2982"/>
    <w:rsid w:val="004E5044"/>
    <w:rsid w:val="004F1CEC"/>
    <w:rsid w:val="00500CEC"/>
    <w:rsid w:val="005B5BA5"/>
    <w:rsid w:val="005F4B1B"/>
    <w:rsid w:val="0077429B"/>
    <w:rsid w:val="007F0915"/>
    <w:rsid w:val="0082021A"/>
    <w:rsid w:val="00841D88"/>
    <w:rsid w:val="009C7B99"/>
    <w:rsid w:val="009D5B6A"/>
    <w:rsid w:val="00A17A51"/>
    <w:rsid w:val="00A41F64"/>
    <w:rsid w:val="00A60425"/>
    <w:rsid w:val="00AE5AA7"/>
    <w:rsid w:val="00AF10C7"/>
    <w:rsid w:val="00BC3536"/>
    <w:rsid w:val="00BF3E27"/>
    <w:rsid w:val="00BF4AF3"/>
    <w:rsid w:val="00D05317"/>
    <w:rsid w:val="00E76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D7E4"/>
  <w15:chartTrackingRefBased/>
  <w15:docId w15:val="{4ADB7064-ED6B-44E7-BDCF-7913F422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F4AF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1864">
      <w:bodyDiv w:val="1"/>
      <w:marLeft w:val="0"/>
      <w:marRight w:val="0"/>
      <w:marTop w:val="0"/>
      <w:marBottom w:val="0"/>
      <w:divBdr>
        <w:top w:val="none" w:sz="0" w:space="0" w:color="auto"/>
        <w:left w:val="none" w:sz="0" w:space="0" w:color="auto"/>
        <w:bottom w:val="none" w:sz="0" w:space="0" w:color="auto"/>
        <w:right w:val="none" w:sz="0" w:space="0" w:color="auto"/>
      </w:divBdr>
    </w:div>
    <w:div w:id="398938839">
      <w:bodyDiv w:val="1"/>
      <w:marLeft w:val="0"/>
      <w:marRight w:val="0"/>
      <w:marTop w:val="0"/>
      <w:marBottom w:val="0"/>
      <w:divBdr>
        <w:top w:val="none" w:sz="0" w:space="0" w:color="auto"/>
        <w:left w:val="none" w:sz="0" w:space="0" w:color="auto"/>
        <w:bottom w:val="none" w:sz="0" w:space="0" w:color="auto"/>
        <w:right w:val="none" w:sz="0" w:space="0" w:color="auto"/>
      </w:divBdr>
    </w:div>
    <w:div w:id="553977253">
      <w:bodyDiv w:val="1"/>
      <w:marLeft w:val="0"/>
      <w:marRight w:val="0"/>
      <w:marTop w:val="0"/>
      <w:marBottom w:val="0"/>
      <w:divBdr>
        <w:top w:val="none" w:sz="0" w:space="0" w:color="auto"/>
        <w:left w:val="none" w:sz="0" w:space="0" w:color="auto"/>
        <w:bottom w:val="none" w:sz="0" w:space="0" w:color="auto"/>
        <w:right w:val="none" w:sz="0" w:space="0" w:color="auto"/>
      </w:divBdr>
    </w:div>
    <w:div w:id="904489600">
      <w:bodyDiv w:val="1"/>
      <w:marLeft w:val="0"/>
      <w:marRight w:val="0"/>
      <w:marTop w:val="0"/>
      <w:marBottom w:val="0"/>
      <w:divBdr>
        <w:top w:val="none" w:sz="0" w:space="0" w:color="auto"/>
        <w:left w:val="none" w:sz="0" w:space="0" w:color="auto"/>
        <w:bottom w:val="none" w:sz="0" w:space="0" w:color="auto"/>
        <w:right w:val="none" w:sz="0" w:space="0" w:color="auto"/>
      </w:divBdr>
    </w:div>
    <w:div w:id="931664431">
      <w:bodyDiv w:val="1"/>
      <w:marLeft w:val="0"/>
      <w:marRight w:val="0"/>
      <w:marTop w:val="0"/>
      <w:marBottom w:val="0"/>
      <w:divBdr>
        <w:top w:val="none" w:sz="0" w:space="0" w:color="auto"/>
        <w:left w:val="none" w:sz="0" w:space="0" w:color="auto"/>
        <w:bottom w:val="none" w:sz="0" w:space="0" w:color="auto"/>
        <w:right w:val="none" w:sz="0" w:space="0" w:color="auto"/>
      </w:divBdr>
    </w:div>
    <w:div w:id="1128430920">
      <w:bodyDiv w:val="1"/>
      <w:marLeft w:val="0"/>
      <w:marRight w:val="0"/>
      <w:marTop w:val="0"/>
      <w:marBottom w:val="0"/>
      <w:divBdr>
        <w:top w:val="none" w:sz="0" w:space="0" w:color="auto"/>
        <w:left w:val="none" w:sz="0" w:space="0" w:color="auto"/>
        <w:bottom w:val="none" w:sz="0" w:space="0" w:color="auto"/>
        <w:right w:val="none" w:sz="0" w:space="0" w:color="auto"/>
      </w:divBdr>
    </w:div>
    <w:div w:id="1276014065">
      <w:bodyDiv w:val="1"/>
      <w:marLeft w:val="0"/>
      <w:marRight w:val="0"/>
      <w:marTop w:val="0"/>
      <w:marBottom w:val="0"/>
      <w:divBdr>
        <w:top w:val="none" w:sz="0" w:space="0" w:color="auto"/>
        <w:left w:val="none" w:sz="0" w:space="0" w:color="auto"/>
        <w:bottom w:val="none" w:sz="0" w:space="0" w:color="auto"/>
        <w:right w:val="none" w:sz="0" w:space="0" w:color="auto"/>
      </w:divBdr>
    </w:div>
    <w:div w:id="1298032543">
      <w:bodyDiv w:val="1"/>
      <w:marLeft w:val="0"/>
      <w:marRight w:val="0"/>
      <w:marTop w:val="0"/>
      <w:marBottom w:val="0"/>
      <w:divBdr>
        <w:top w:val="none" w:sz="0" w:space="0" w:color="auto"/>
        <w:left w:val="none" w:sz="0" w:space="0" w:color="auto"/>
        <w:bottom w:val="none" w:sz="0" w:space="0" w:color="auto"/>
        <w:right w:val="none" w:sz="0" w:space="0" w:color="auto"/>
      </w:divBdr>
    </w:div>
    <w:div w:id="1673875282">
      <w:bodyDiv w:val="1"/>
      <w:marLeft w:val="0"/>
      <w:marRight w:val="0"/>
      <w:marTop w:val="0"/>
      <w:marBottom w:val="0"/>
      <w:divBdr>
        <w:top w:val="none" w:sz="0" w:space="0" w:color="auto"/>
        <w:left w:val="none" w:sz="0" w:space="0" w:color="auto"/>
        <w:bottom w:val="none" w:sz="0" w:space="0" w:color="auto"/>
        <w:right w:val="none" w:sz="0" w:space="0" w:color="auto"/>
      </w:divBdr>
    </w:div>
    <w:div w:id="16909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6</Pages>
  <Words>6333</Words>
  <Characters>3611</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appler890@gmail.com</dc:creator>
  <cp:keywords/>
  <dc:description/>
  <cp:lastModifiedBy>appler890@gmail.com</cp:lastModifiedBy>
  <cp:revision>6</cp:revision>
  <dcterms:created xsi:type="dcterms:W3CDTF">2025-06-25T08:11:00Z</dcterms:created>
  <dcterms:modified xsi:type="dcterms:W3CDTF">2025-06-30T12:25:00Z</dcterms:modified>
</cp:coreProperties>
</file>