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16.03.2018р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реєстрацію права постійного користування   на земельну ділянку на комунальної   власності по вул. Личаківській, 105 у м. Львів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AF362CE" w14:textId="77777777" w:rsidR="006A4F9B" w:rsidRPr="006A4F9B" w:rsidRDefault="006A4F9B" w:rsidP="006A4F9B">
      <w:pPr>
        <w:ind w:firstLine="720"/>
        <w:jc w:val="both"/>
        <w:rPr>
          <w:sz w:val="28"/>
          <w:szCs w:val="28"/>
        </w:rPr>
      </w:pPr>
      <w:r w:rsidRPr="006A4F9B">
        <w:rPr>
          <w:sz w:val="28"/>
          <w:szCs w:val="28"/>
        </w:rPr>
        <w:t>З метою врегулювання відносин власності щодо земельних ділянок, які належать до комунальної власності територіальної громади м. Винники, беручи до уваги ухвалу Львівської міської ради №2895 від 25.01.2018 р. «Про затвердження територіальній громаді м. Винники в особі Винниківської міської ради технічної документації із землеустрою щодо встановлення (відновлення) меж земельної ділянки в натурі (на місцевості) на вул. Личаківській, 105», керуючись Цивільним кодексом України, Законом України «Про державну реєстрацію речових прав на нерухоме майно та їх обтяжень», постановою Кабінету Міністрів України від 25.12.2015 № 1127 «Про державну реєстрацію речових прав на нерухоме майно та їх обтяжень», Виконавчий комітет</w:t>
      </w:r>
    </w:p>
    <w:p w14:paraId="2622548D" w14:textId="77777777" w:rsidR="006A4F9B" w:rsidRPr="006A4F9B" w:rsidRDefault="006A4F9B" w:rsidP="006A4F9B">
      <w:pPr>
        <w:jc w:val="both"/>
        <w:rPr>
          <w:sz w:val="28"/>
          <w:szCs w:val="28"/>
        </w:rPr>
      </w:pPr>
    </w:p>
    <w:p w14:paraId="0E12654A" w14:textId="77777777" w:rsidR="006A4F9B" w:rsidRPr="006A4F9B" w:rsidRDefault="006A4F9B" w:rsidP="006A4F9B">
      <w:pPr>
        <w:jc w:val="center"/>
        <w:rPr>
          <w:sz w:val="28"/>
          <w:szCs w:val="28"/>
        </w:rPr>
      </w:pPr>
      <w:r w:rsidRPr="006A4F9B">
        <w:rPr>
          <w:sz w:val="28"/>
          <w:szCs w:val="28"/>
        </w:rPr>
        <w:t>вирішив:</w:t>
      </w:r>
    </w:p>
    <w:p w14:paraId="72C486F8" w14:textId="77777777" w:rsidR="006A4F9B" w:rsidRPr="006A4F9B" w:rsidRDefault="006A4F9B" w:rsidP="006A4F9B">
      <w:pPr>
        <w:jc w:val="both"/>
        <w:rPr>
          <w:sz w:val="28"/>
          <w:szCs w:val="28"/>
        </w:rPr>
      </w:pPr>
    </w:p>
    <w:p w14:paraId="787AD60C" w14:textId="77777777" w:rsidR="006A4F9B" w:rsidRPr="006A4F9B" w:rsidRDefault="006A4F9B" w:rsidP="006A4F9B">
      <w:pPr>
        <w:jc w:val="both"/>
        <w:rPr>
          <w:sz w:val="28"/>
          <w:szCs w:val="28"/>
        </w:rPr>
      </w:pPr>
      <w:r w:rsidRPr="006A4F9B">
        <w:rPr>
          <w:sz w:val="28"/>
          <w:szCs w:val="28"/>
        </w:rPr>
        <w:t>1. Зареєструвати територіальній громаді м. Винники в особі Винниківської міської ради право постійного користування на земельну ділянку комунальної власності (к/н 4610137200:06:003:0078)  загальною площею 1, 0755 га на вул. Личаківській, 105 у м. Львові,  цільове призначення «03.15 Для будівництва та обслуговування інших будівель громадської забудови».</w:t>
      </w:r>
    </w:p>
    <w:p w14:paraId="1B72713D" w14:textId="77777777" w:rsidR="006A4F9B" w:rsidRPr="006A4F9B" w:rsidRDefault="006A4F9B" w:rsidP="006A4F9B">
      <w:pPr>
        <w:jc w:val="both"/>
        <w:rPr>
          <w:sz w:val="28"/>
          <w:szCs w:val="28"/>
        </w:rPr>
      </w:pPr>
      <w:r w:rsidRPr="006A4F9B">
        <w:rPr>
          <w:sz w:val="28"/>
          <w:szCs w:val="28"/>
        </w:rPr>
        <w:t>2. Відділу комунального господарства вжити заходів для реєстрації у встановленому порядку права постійного користування у Державному реєстрі речових прав на нерухоме майно.</w:t>
      </w:r>
    </w:p>
    <w:p w14:paraId="106EF3C6" w14:textId="77777777" w:rsidR="006A4F9B" w:rsidRPr="006A4F9B" w:rsidRDefault="006A4F9B" w:rsidP="006A4F9B">
      <w:pPr>
        <w:jc w:val="both"/>
        <w:rPr>
          <w:sz w:val="28"/>
          <w:szCs w:val="28"/>
        </w:rPr>
      </w:pPr>
      <w:r w:rsidRPr="006A4F9B">
        <w:rPr>
          <w:sz w:val="28"/>
          <w:szCs w:val="28"/>
        </w:rPr>
        <w:t>3.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B8AB8C4" w14:textId="77777777" w:rsidR="006A4F9B" w:rsidRPr="006A4F9B" w:rsidRDefault="006A4F9B" w:rsidP="006A4F9B">
      <w:pPr>
        <w:jc w:val="both"/>
        <w:rPr>
          <w:sz w:val="28"/>
          <w:szCs w:val="28"/>
        </w:rPr>
      </w:pPr>
    </w:p>
    <w:p w14:paraId="63DEF5C4" w14:textId="77777777" w:rsidR="006A4F9B" w:rsidRPr="006A4F9B" w:rsidRDefault="006A4F9B" w:rsidP="006A4F9B">
      <w:pPr>
        <w:jc w:val="both"/>
        <w:rPr>
          <w:sz w:val="28"/>
          <w:szCs w:val="28"/>
        </w:rPr>
      </w:pPr>
    </w:p>
    <w:p w14:paraId="01C471E0" w14:textId="5B26FE70" w:rsidR="00213958" w:rsidRPr="006F2805" w:rsidRDefault="006A4F9B" w:rsidP="006A4F9B">
      <w:pPr>
        <w:jc w:val="both"/>
        <w:rPr>
          <w:sz w:val="28"/>
          <w:szCs w:val="28"/>
        </w:rPr>
      </w:pPr>
      <w:r w:rsidRPr="006A4F9B">
        <w:rPr>
          <w:sz w:val="28"/>
          <w:szCs w:val="28"/>
        </w:rPr>
        <w:t>Міський голова                                                                                                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9F919F" w14:textId="77777777" w:rsidR="00124EF3" w:rsidRDefault="00124EF3">
      <w:r>
        <w:separator/>
      </w:r>
    </w:p>
  </w:endnote>
  <w:endnote w:type="continuationSeparator" w:id="0">
    <w:p w14:paraId="2343FA14" w14:textId="77777777" w:rsidR="00124EF3" w:rsidRDefault="00124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AC8E80" w14:textId="77777777" w:rsidR="00124EF3" w:rsidRDefault="00124EF3">
      <w:r>
        <w:separator/>
      </w:r>
    </w:p>
  </w:footnote>
  <w:footnote w:type="continuationSeparator" w:id="0">
    <w:p w14:paraId="0B9E7918" w14:textId="77777777" w:rsidR="00124EF3" w:rsidRDefault="00124E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4EF3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A4F9B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56FC3C-A511-472F-8EF2-416B68359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1228</Words>
  <Characters>700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2024-04-16T09:10:00Z</dcterms:modified>
</cp:coreProperties>
</file>