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25.04.2019р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уточненого графіку  сплати  розміру пайової   участі при при здійсненні будівництва багатоквартирних  житлових   будинків групи житлової забудови (поз.ІІ-га черга  по ГП)   по вул.Винна Гора 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51CA2A0" w14:textId="77777777" w:rsidR="00E45EA1" w:rsidRPr="00E45EA1" w:rsidRDefault="00E45EA1" w:rsidP="00E45EA1">
      <w:pPr>
        <w:ind w:firstLine="720"/>
        <w:jc w:val="both"/>
        <w:rPr>
          <w:sz w:val="28"/>
          <w:szCs w:val="28"/>
        </w:rPr>
      </w:pPr>
      <w:r w:rsidRPr="00E45EA1">
        <w:rPr>
          <w:sz w:val="28"/>
          <w:szCs w:val="28"/>
        </w:rPr>
        <w:t>Керуючись Законами України «Про місцеве самоврядування в Україні», ст.40 «Про містобудівної діяльності», відповідно до Положення «Про порядок залучення коштів інвесторів на розвиток інженерно-транспортної та соціальної інфраструктури міста Винники», затвердженого рішенням сесії Винниківської міської ради № 424 від 15.07.2016 р. з наступними змінами та доповненнями , беручи до уваги роз.VIII п.6 даного Положення,  розглянувши заяву директора ТзОВ «Будівельно-інвестиційна компанія «Рубікон Груп» Іваньо  Тараса Романовича  , виконком  Винниківської  міської  ради –</w:t>
      </w:r>
    </w:p>
    <w:p w14:paraId="76C87E46" w14:textId="77777777" w:rsidR="00E45EA1" w:rsidRDefault="00E45EA1" w:rsidP="00E45EA1">
      <w:pPr>
        <w:jc w:val="center"/>
        <w:rPr>
          <w:sz w:val="28"/>
          <w:szCs w:val="28"/>
        </w:rPr>
      </w:pPr>
    </w:p>
    <w:p w14:paraId="6697D513" w14:textId="69FF00A4" w:rsidR="00E45EA1" w:rsidRPr="00E45EA1" w:rsidRDefault="00E45EA1" w:rsidP="00E45EA1">
      <w:pPr>
        <w:jc w:val="center"/>
        <w:rPr>
          <w:sz w:val="28"/>
          <w:szCs w:val="28"/>
        </w:rPr>
      </w:pPr>
      <w:bookmarkStart w:id="1" w:name="_GoBack"/>
      <w:bookmarkEnd w:id="1"/>
      <w:r w:rsidRPr="00E45EA1">
        <w:rPr>
          <w:sz w:val="28"/>
          <w:szCs w:val="28"/>
        </w:rPr>
        <w:t>ВИРІШИВ:</w:t>
      </w:r>
    </w:p>
    <w:p w14:paraId="69D62AF8" w14:textId="77777777" w:rsidR="00E45EA1" w:rsidRPr="00E45EA1" w:rsidRDefault="00E45EA1" w:rsidP="00E45EA1">
      <w:pPr>
        <w:jc w:val="both"/>
        <w:rPr>
          <w:sz w:val="28"/>
          <w:szCs w:val="28"/>
        </w:rPr>
      </w:pPr>
    </w:p>
    <w:p w14:paraId="583B499A" w14:textId="77777777" w:rsidR="00E45EA1" w:rsidRPr="00E45EA1" w:rsidRDefault="00E45EA1" w:rsidP="00E45EA1">
      <w:pPr>
        <w:jc w:val="both"/>
        <w:rPr>
          <w:sz w:val="28"/>
          <w:szCs w:val="28"/>
        </w:rPr>
      </w:pPr>
      <w:r w:rsidRPr="00E45EA1">
        <w:rPr>
          <w:sz w:val="28"/>
          <w:szCs w:val="28"/>
        </w:rPr>
        <w:t>1. Затвердити уточнений графік сплати розміру  пайової участі при будівництва багатоквартирних  житлових будинків групи житлової забудови (поз.ІІ-га черга  по ГП) по вул.Винна Гора  у м. Винники  (к/н 4610160300:01:002:0118 ) в розмірі  - 1384675 грн 96 коп. (дод.1)</w:t>
      </w:r>
    </w:p>
    <w:p w14:paraId="75838D28" w14:textId="77777777" w:rsidR="00E45EA1" w:rsidRPr="00E45EA1" w:rsidRDefault="00E45EA1" w:rsidP="00E45EA1">
      <w:pPr>
        <w:jc w:val="both"/>
        <w:rPr>
          <w:sz w:val="28"/>
          <w:szCs w:val="28"/>
        </w:rPr>
      </w:pPr>
      <w:r w:rsidRPr="00E45EA1">
        <w:rPr>
          <w:sz w:val="28"/>
          <w:szCs w:val="28"/>
        </w:rPr>
        <w:t xml:space="preserve">2. Директору ТзОВ«Будівельно-інвестиційна компанія «Рубікон Груп» (Сторона-2) : </w:t>
      </w:r>
    </w:p>
    <w:p w14:paraId="52CB2D2B" w14:textId="77777777" w:rsidR="00E45EA1" w:rsidRPr="00E45EA1" w:rsidRDefault="00E45EA1" w:rsidP="00E45EA1">
      <w:pPr>
        <w:jc w:val="both"/>
        <w:rPr>
          <w:sz w:val="28"/>
          <w:szCs w:val="28"/>
        </w:rPr>
      </w:pPr>
      <w:r w:rsidRPr="00E45EA1">
        <w:rPr>
          <w:sz w:val="28"/>
          <w:szCs w:val="28"/>
        </w:rPr>
        <w:t>2.2. Пайовий внесок сплатити згідно умов Договору та затвердженого уточненого графіку.</w:t>
      </w:r>
    </w:p>
    <w:p w14:paraId="5790AB5A" w14:textId="77777777" w:rsidR="00E45EA1" w:rsidRPr="00E45EA1" w:rsidRDefault="00E45EA1" w:rsidP="00E45EA1">
      <w:pPr>
        <w:jc w:val="both"/>
        <w:rPr>
          <w:sz w:val="28"/>
          <w:szCs w:val="28"/>
        </w:rPr>
      </w:pPr>
      <w:r w:rsidRPr="00E45EA1">
        <w:rPr>
          <w:sz w:val="28"/>
          <w:szCs w:val="28"/>
        </w:rPr>
        <w:t xml:space="preserve">2.3  За порушення Стороною-2 зобов’язань за цим Договором з підстав, які залежать  лише від Сторони-2, остання сплачує суму боргу з урахуванням встановленого індексу інфляції за весь час прострочення , а також пеню в розмірі  </w:t>
      </w:r>
      <w:r w:rsidRPr="00E45EA1">
        <w:rPr>
          <w:sz w:val="28"/>
          <w:szCs w:val="28"/>
        </w:rPr>
        <w:lastRenderedPageBreak/>
        <w:t xml:space="preserve">подвійної ставки НБУ від суми невиконаних зобов’язань за цим Договором , за кожний день прострочення на розрахунковий рахунок Сторони -1 </w:t>
      </w:r>
    </w:p>
    <w:p w14:paraId="640A88A4" w14:textId="77777777" w:rsidR="00E45EA1" w:rsidRPr="00E45EA1" w:rsidRDefault="00E45EA1" w:rsidP="00E45EA1">
      <w:pPr>
        <w:jc w:val="both"/>
        <w:rPr>
          <w:sz w:val="28"/>
          <w:szCs w:val="28"/>
        </w:rPr>
      </w:pPr>
      <w:r w:rsidRPr="00E45EA1">
        <w:rPr>
          <w:sz w:val="28"/>
          <w:szCs w:val="28"/>
        </w:rPr>
        <w:t>3.Контроль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328D978" w14:textId="77777777" w:rsidR="00E45EA1" w:rsidRPr="00E45EA1" w:rsidRDefault="00E45EA1" w:rsidP="00E45EA1">
      <w:pPr>
        <w:jc w:val="both"/>
        <w:rPr>
          <w:sz w:val="28"/>
          <w:szCs w:val="28"/>
        </w:rPr>
      </w:pPr>
    </w:p>
    <w:p w14:paraId="512B748F" w14:textId="77777777" w:rsidR="00E45EA1" w:rsidRPr="00E45EA1" w:rsidRDefault="00E45EA1" w:rsidP="00E45EA1">
      <w:pPr>
        <w:jc w:val="both"/>
        <w:rPr>
          <w:sz w:val="28"/>
          <w:szCs w:val="28"/>
        </w:rPr>
      </w:pPr>
    </w:p>
    <w:p w14:paraId="01C471E0" w14:textId="0B2372FD" w:rsidR="00213958" w:rsidRPr="006F2805" w:rsidRDefault="00E45EA1" w:rsidP="00E45EA1">
      <w:pPr>
        <w:jc w:val="both"/>
        <w:rPr>
          <w:sz w:val="28"/>
          <w:szCs w:val="28"/>
        </w:rPr>
      </w:pPr>
      <w:r w:rsidRPr="00E45EA1">
        <w:rPr>
          <w:sz w:val="28"/>
          <w:szCs w:val="28"/>
        </w:rPr>
        <w:t>Міський голова</w:t>
      </w:r>
      <w:r w:rsidRPr="00E45EA1">
        <w:rPr>
          <w:sz w:val="28"/>
          <w:szCs w:val="28"/>
        </w:rPr>
        <w:tab/>
      </w:r>
      <w:r w:rsidRPr="00E45EA1">
        <w:rPr>
          <w:sz w:val="28"/>
          <w:szCs w:val="28"/>
        </w:rPr>
        <w:tab/>
      </w:r>
      <w:r w:rsidRPr="00E45EA1">
        <w:rPr>
          <w:sz w:val="28"/>
          <w:szCs w:val="28"/>
        </w:rPr>
        <w:tab/>
      </w:r>
      <w:r w:rsidRPr="00E45EA1">
        <w:rPr>
          <w:sz w:val="28"/>
          <w:szCs w:val="28"/>
        </w:rPr>
        <w:tab/>
        <w:t xml:space="preserve">                                        Квурт В.Л.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520A16" w14:textId="77777777" w:rsidR="002A6EC0" w:rsidRDefault="002A6EC0">
      <w:r>
        <w:separator/>
      </w:r>
    </w:p>
  </w:endnote>
  <w:endnote w:type="continuationSeparator" w:id="0">
    <w:p w14:paraId="724F4D5E" w14:textId="77777777" w:rsidR="002A6EC0" w:rsidRDefault="002A6E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D26ACB" w14:textId="77777777" w:rsidR="002A6EC0" w:rsidRDefault="002A6EC0">
      <w:r>
        <w:separator/>
      </w:r>
    </w:p>
  </w:footnote>
  <w:footnote w:type="continuationSeparator" w:id="0">
    <w:p w14:paraId="15106D8F" w14:textId="77777777" w:rsidR="002A6EC0" w:rsidRDefault="002A6E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A6EC0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45EA1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33B777-68A8-4F45-AC16-BBC37829B1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1331</Words>
  <Characters>760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2024-05-10T09:05:00Z</dcterms:modified>
</cp:coreProperties>
</file>