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протоколу аукціонної   комісії та інформаційного повідомлення про продаж на електронному аукціоні об'єкта малої приватизації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564F17" w14:textId="2AC9F468" w:rsidR="00A724B1" w:rsidRPr="00A724B1" w:rsidRDefault="00A724B1" w:rsidP="00A724B1">
      <w:pPr>
        <w:ind w:firstLine="720"/>
        <w:jc w:val="both"/>
        <w:rPr>
          <w:sz w:val="28"/>
          <w:szCs w:val="28"/>
        </w:rPr>
      </w:pPr>
      <w:r w:rsidRPr="00A724B1">
        <w:rPr>
          <w:sz w:val="28"/>
          <w:szCs w:val="28"/>
        </w:rPr>
        <w:t xml:space="preserve">Керуючись постановою Кабінету Міністрів України №432 від 10.05.2018 року «Про затвердження Порядку проведення електронних аукціонів для продажу об’єктів малої приватизації», ст. 55 Закону України «Про місцеве самоврядування в Україні», рішенням Винниківської міської ради №2071 від 18.10.2019 р. «Про включення до переліків об’єктів, що підлягають приватизації шляхом продажу на електронному аукціоні», виконавчий комітет Винниківської міської ради </w:t>
      </w:r>
    </w:p>
    <w:p w14:paraId="401D2CD5" w14:textId="65EA8302" w:rsidR="00A724B1" w:rsidRPr="00A724B1" w:rsidRDefault="00A724B1" w:rsidP="00A724B1">
      <w:pPr>
        <w:jc w:val="center"/>
        <w:rPr>
          <w:sz w:val="28"/>
          <w:szCs w:val="28"/>
        </w:rPr>
      </w:pPr>
      <w:r w:rsidRPr="00A724B1">
        <w:rPr>
          <w:sz w:val="28"/>
          <w:szCs w:val="28"/>
        </w:rPr>
        <w:t>вирішив:</w:t>
      </w:r>
    </w:p>
    <w:p w14:paraId="3A4DB11C" w14:textId="77777777" w:rsidR="00A724B1" w:rsidRPr="00A724B1" w:rsidRDefault="00A724B1" w:rsidP="00A724B1">
      <w:pPr>
        <w:jc w:val="both"/>
        <w:rPr>
          <w:sz w:val="28"/>
          <w:szCs w:val="28"/>
        </w:rPr>
      </w:pPr>
      <w:r w:rsidRPr="00A724B1">
        <w:rPr>
          <w:sz w:val="28"/>
          <w:szCs w:val="28"/>
        </w:rPr>
        <w:t>1.</w:t>
      </w:r>
      <w:r w:rsidRPr="00A724B1">
        <w:rPr>
          <w:sz w:val="28"/>
          <w:szCs w:val="28"/>
        </w:rPr>
        <w:tab/>
        <w:t>Затвердити протокол аукціонної комісії №1 з продажу нежитлових приміщень (гаражі ЖЕК) загальною площею 250, 2 м.кв. за адресою м. Винники, вул. Шевченка, 9а та земельної ділянки, на якій вони розміщені, із кадастровим номером 4610160300:05:001:0288 із цільовим призначенням для колективного гаражного будівництва площею 0, 062 га.</w:t>
      </w:r>
    </w:p>
    <w:p w14:paraId="51904ED2" w14:textId="77777777" w:rsidR="00A724B1" w:rsidRPr="00A724B1" w:rsidRDefault="00A724B1" w:rsidP="00A724B1">
      <w:pPr>
        <w:jc w:val="both"/>
        <w:rPr>
          <w:sz w:val="28"/>
          <w:szCs w:val="28"/>
        </w:rPr>
      </w:pPr>
      <w:r w:rsidRPr="00A724B1">
        <w:rPr>
          <w:sz w:val="28"/>
          <w:szCs w:val="28"/>
        </w:rPr>
        <w:t>2.</w:t>
      </w:r>
      <w:r w:rsidRPr="00A724B1">
        <w:rPr>
          <w:sz w:val="28"/>
          <w:szCs w:val="28"/>
        </w:rPr>
        <w:tab/>
        <w:t>Затвердити інформаційне повідомлення про продаж на електронному аукціоні об’єкта малої приватизації нежитлових приміщень (гаражі ЖЕК) загальною площею 250, 2 м.кв. за адресою м. Винники, вул. Шевченка, 9а та земельної ділянки, на якій вони розміщені, із кадастровим номером 4610160300:05:001:0288 із цільовим призначенням для колективного гаражного будівництва площею 0, 062 га. (Додаток №1)</w:t>
      </w:r>
    </w:p>
    <w:p w14:paraId="282CAB5A" w14:textId="77777777" w:rsidR="00A724B1" w:rsidRPr="00A724B1" w:rsidRDefault="00A724B1" w:rsidP="00A724B1">
      <w:pPr>
        <w:jc w:val="both"/>
        <w:rPr>
          <w:sz w:val="28"/>
          <w:szCs w:val="28"/>
        </w:rPr>
      </w:pPr>
      <w:r w:rsidRPr="00A724B1">
        <w:rPr>
          <w:sz w:val="28"/>
          <w:szCs w:val="28"/>
        </w:rPr>
        <w:t>3.</w:t>
      </w:r>
      <w:r w:rsidRPr="00A724B1">
        <w:rPr>
          <w:sz w:val="28"/>
          <w:szCs w:val="28"/>
        </w:rPr>
        <w:tab/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7477B514" w14:textId="70B0C9DA" w:rsidR="00A724B1" w:rsidRPr="00A724B1" w:rsidRDefault="00A724B1" w:rsidP="00A724B1">
      <w:pPr>
        <w:jc w:val="both"/>
        <w:rPr>
          <w:sz w:val="28"/>
          <w:szCs w:val="28"/>
        </w:rPr>
      </w:pPr>
      <w:bookmarkStart w:id="1" w:name="_GoBack"/>
      <w:bookmarkEnd w:id="1"/>
    </w:p>
    <w:p w14:paraId="2F6AC4F7" w14:textId="77777777" w:rsidR="00A724B1" w:rsidRPr="00A724B1" w:rsidRDefault="00A724B1" w:rsidP="00A724B1">
      <w:pPr>
        <w:jc w:val="both"/>
        <w:rPr>
          <w:sz w:val="28"/>
          <w:szCs w:val="28"/>
        </w:rPr>
      </w:pPr>
      <w:r w:rsidRPr="00A724B1">
        <w:rPr>
          <w:sz w:val="28"/>
          <w:szCs w:val="28"/>
        </w:rPr>
        <w:t>В.о. міського голови                                                                                  Б. Шустер</w:t>
      </w:r>
    </w:p>
    <w:p w14:paraId="01C471E0" w14:textId="77777777" w:rsidR="00213958" w:rsidRPr="006F2805" w:rsidRDefault="00213958" w:rsidP="00A724B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99D4B" w14:textId="77777777" w:rsidR="00DB35FC" w:rsidRDefault="00DB35FC">
      <w:r>
        <w:separator/>
      </w:r>
    </w:p>
  </w:endnote>
  <w:endnote w:type="continuationSeparator" w:id="0">
    <w:p w14:paraId="5D4DA6CA" w14:textId="77777777" w:rsidR="00DB35FC" w:rsidRDefault="00DB3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6C680" w14:textId="77777777" w:rsidR="00DB35FC" w:rsidRDefault="00DB35FC">
      <w:r>
        <w:separator/>
      </w:r>
    </w:p>
  </w:footnote>
  <w:footnote w:type="continuationSeparator" w:id="0">
    <w:p w14:paraId="4EE2544A" w14:textId="77777777" w:rsidR="00DB35FC" w:rsidRDefault="00DB3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24B1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5F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ECFAB-0458-4F4F-BA69-A62E5E3FA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2024-05-30T11:27:00Z</dcterms:modified>
</cp:coreProperties>
</file>