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711D71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реконструкцію з добудовою житлового будинку   на земельній ділянці по вул. О. Теліги,</w:t>
            </w:r>
            <w:r w:rsidR="00C94EA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3 (к/н 4610160300:01:003:0018)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E2298C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Тички О.Я., виконавчий комітет Винниківської міської ради –</w:t>
      </w:r>
    </w:p>
    <w:p w14:paraId="43608E64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6A436473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>ВИРІШИВ:</w:t>
      </w:r>
    </w:p>
    <w:p w14:paraId="36716C9D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</w:p>
    <w:p w14:paraId="38609EE6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1.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Видати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гр. Тичці Оксані Ярославівні будівельний паспорт забудови земельної ділянки на проектування та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реконструкцію з добудовою житлового будинку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val="ru-RU" w:eastAsia="uk-UA"/>
        </w:rPr>
        <w:t>на земельній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val="ru-RU" w:eastAsia="uk-UA"/>
        </w:rPr>
        <w:t xml:space="preserve">ділянці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вул. О. Теліги, 3 (к/н 4610160300:01:003:0018) у м. Винники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6DBCAB8D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2.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реконструкцію з добудовою житлового будинку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val="ru-RU" w:eastAsia="uk-UA"/>
        </w:rPr>
        <w:t>на земельній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val="ru-RU" w:eastAsia="uk-UA"/>
        </w:rPr>
        <w:t xml:space="preserve">ділянці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вул. О. Теліги, 3 (к/н 4610160300:01:003:0018) у м. Винники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7A0E43CB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Зобов’язати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гр. Тичку О.Я.:</w:t>
      </w:r>
    </w:p>
    <w:p w14:paraId="104BC174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lastRenderedPageBreak/>
        <w:t>3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.1.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549389C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.2.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При проектуванні і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реконструкції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 об’єкту містобудування дотримуватись вимог, визначених у будівельному паспорті забудови земельної ділянки. </w:t>
      </w:r>
    </w:p>
    <w:p w14:paraId="250D9EBA" w14:textId="2B11BA6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.3.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для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839B8E9" w14:textId="736C4D6B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.4.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Під час ведення будівельних робіт утримувати в належному стані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присадибну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9778136" w14:textId="5A3E5CC1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.5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Після завершення будівельних робіт з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реконструкції </w:t>
      </w:r>
      <w:r w:rsidRPr="00C94EA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індивідуального житлового будинку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п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виконавчому комітету Винниківської міської ради. </w:t>
      </w:r>
    </w:p>
    <w:p w14:paraId="68A4C1CB" w14:textId="725BFE6A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</w:t>
      </w:r>
      <w:r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.6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3AB6609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 xml:space="preserve">Роз’яснити гр. 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Тичці О.Я., що будівельні роботи можна розпочинати тільки після отримання відповідних дозволів, згідно державних норм та правил.</w:t>
      </w:r>
    </w:p>
    <w:p w14:paraId="1BBEB99F" w14:textId="5CE48EDF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5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EE3C1DB" w14:textId="4F9C1075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6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C94EA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90D823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</w:pPr>
    </w:p>
    <w:p w14:paraId="09C067A6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</w:pPr>
    </w:p>
    <w:p w14:paraId="3554EFDF" w14:textId="77777777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</w:pPr>
    </w:p>
    <w:p w14:paraId="1683210F" w14:textId="22611C20" w:rsidR="00C94EA0" w:rsidRPr="00C94EA0" w:rsidRDefault="00C94EA0" w:rsidP="00C94EA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sz w:val="28"/>
          <w:szCs w:val="28"/>
          <w:u w:color="000000"/>
          <w:bdr w:val="nil"/>
          <w:lang w:eastAsia="uk-UA"/>
        </w:rPr>
      </w:pPr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>Заступник міського голови</w:t>
      </w:r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bookmarkStart w:id="1" w:name="_GoBack"/>
      <w:bookmarkEnd w:id="1"/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</w:r>
      <w:r w:rsidRPr="00C94EA0">
        <w:rPr>
          <w:rFonts w:eastAsia="Arial Unicode MS" w:cs="Arial Unicode MS"/>
          <w:b/>
          <w:color w:val="000000"/>
          <w:sz w:val="28"/>
          <w:szCs w:val="28"/>
          <w:u w:color="000000"/>
          <w:bdr w:val="nil"/>
          <w:lang w:eastAsia="uk-UA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E6273" w14:textId="77777777" w:rsidR="00537439" w:rsidRDefault="00537439">
      <w:r>
        <w:separator/>
      </w:r>
    </w:p>
  </w:endnote>
  <w:endnote w:type="continuationSeparator" w:id="0">
    <w:p w14:paraId="0FA381FB" w14:textId="77777777" w:rsidR="00537439" w:rsidRDefault="0053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2FDA5" w14:textId="77777777" w:rsidR="00537439" w:rsidRDefault="00537439">
      <w:r>
        <w:separator/>
      </w:r>
    </w:p>
  </w:footnote>
  <w:footnote w:type="continuationSeparator" w:id="0">
    <w:p w14:paraId="4EC92542" w14:textId="77777777" w:rsidR="00537439" w:rsidRDefault="00537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43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EA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BFC3-415B-494F-84EB-122079F4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1973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2025-01-17T10:14:00Z</dcterms:modified>
</cp:coreProperties>
</file>