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D6ED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детального плану території житлової та громадської забудови в районі Кільцевої дороги у м.Винники для учасників АТО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D6ED3" w:rsidRPr="005D6ED3" w:rsidRDefault="005D6ED3" w:rsidP="005D6ED3">
      <w:pPr>
        <w:ind w:firstLine="720"/>
        <w:rPr>
          <w:sz w:val="28"/>
          <w:szCs w:val="28"/>
        </w:rPr>
      </w:pPr>
      <w:r w:rsidRPr="005D6ED3">
        <w:rPr>
          <w:sz w:val="28"/>
          <w:szCs w:val="28"/>
        </w:rPr>
        <w:t xml:space="preserve">Заслухавши начальника відділу містобудування щодо необхідності забезпечити земельними ділянками учасників АТО, які повернулись із Сходу України,  беручи до уваги рішення Винниківської міської ради № 154 від 11.02.2016 року «Про затвердження детального плану території житлової та громадської забудови в районі Кільцевої дороги у м. Винники для учасників АТО», заяви, які надійшли від воїнів АТО, керуючись Земельним кодексом України, Законом України "Про регулювання містобудівної діяльності", Законом України "Про місцеве самоврядування в Україні", Винниківська міська рада – </w:t>
      </w:r>
    </w:p>
    <w:p w:rsidR="005D6ED3" w:rsidRPr="005D6ED3" w:rsidRDefault="005D6ED3" w:rsidP="005D6ED3">
      <w:pPr>
        <w:jc w:val="center"/>
        <w:rPr>
          <w:sz w:val="28"/>
          <w:szCs w:val="28"/>
        </w:rPr>
      </w:pPr>
      <w:bookmarkStart w:id="1" w:name="_GoBack"/>
      <w:bookmarkEnd w:id="1"/>
      <w:r w:rsidRPr="005D6ED3">
        <w:rPr>
          <w:sz w:val="28"/>
          <w:szCs w:val="28"/>
        </w:rPr>
        <w:t>вирішила:</w:t>
      </w:r>
    </w:p>
    <w:p w:rsidR="005D6ED3" w:rsidRPr="005D6ED3" w:rsidRDefault="005D6ED3" w:rsidP="005D6ED3">
      <w:pPr>
        <w:rPr>
          <w:sz w:val="28"/>
          <w:szCs w:val="28"/>
        </w:rPr>
      </w:pPr>
    </w:p>
    <w:p w:rsidR="005D6ED3" w:rsidRPr="005D6ED3" w:rsidRDefault="005D6ED3" w:rsidP="005D6ED3">
      <w:pPr>
        <w:rPr>
          <w:sz w:val="28"/>
          <w:szCs w:val="28"/>
        </w:rPr>
      </w:pPr>
      <w:r w:rsidRPr="005D6ED3">
        <w:rPr>
          <w:sz w:val="28"/>
          <w:szCs w:val="28"/>
        </w:rPr>
        <w:t>1.</w:t>
      </w:r>
      <w:r w:rsidRPr="005D6ED3">
        <w:rPr>
          <w:sz w:val="28"/>
          <w:szCs w:val="28"/>
        </w:rPr>
        <w:tab/>
        <w:t>Внести зміни у  Детальний план території житлової та громадської забудови в районі Кільцевої дороги у м.Винники для учасників АТО, затверджений рішення Винниківської міської ради № 154 від 11.02.2016 року.</w:t>
      </w:r>
    </w:p>
    <w:p w:rsidR="005D6ED3" w:rsidRPr="005D6ED3" w:rsidRDefault="005D6ED3" w:rsidP="005D6ED3">
      <w:pPr>
        <w:rPr>
          <w:sz w:val="28"/>
          <w:szCs w:val="28"/>
        </w:rPr>
      </w:pPr>
      <w:r w:rsidRPr="005D6ED3">
        <w:rPr>
          <w:sz w:val="28"/>
          <w:szCs w:val="28"/>
        </w:rPr>
        <w:t>2.</w:t>
      </w:r>
      <w:r w:rsidRPr="005D6ED3">
        <w:rPr>
          <w:sz w:val="28"/>
          <w:szCs w:val="28"/>
        </w:rPr>
        <w:tab/>
        <w:t>Доручити виконавчому комітету Винниківської міської ради розробити пропозиції змін у  Детальний план території житлової та громадської забудови в районі Кільцевої дороги у м.Винники для учасників АТО, передбачивши у ньому  додаткові земельні ділянки.</w:t>
      </w:r>
    </w:p>
    <w:p w:rsidR="005D6ED3" w:rsidRPr="005D6ED3" w:rsidRDefault="005D6ED3" w:rsidP="005D6ED3">
      <w:pPr>
        <w:rPr>
          <w:sz w:val="28"/>
          <w:szCs w:val="28"/>
        </w:rPr>
      </w:pPr>
    </w:p>
    <w:p w:rsidR="005D6ED3" w:rsidRPr="005D6ED3" w:rsidRDefault="005D6ED3" w:rsidP="005D6ED3">
      <w:pPr>
        <w:rPr>
          <w:sz w:val="28"/>
          <w:szCs w:val="28"/>
        </w:rPr>
      </w:pPr>
    </w:p>
    <w:p w:rsidR="005D6ED3" w:rsidRPr="005D6ED3" w:rsidRDefault="005D6ED3" w:rsidP="005D6ED3">
      <w:pPr>
        <w:rPr>
          <w:sz w:val="28"/>
          <w:szCs w:val="28"/>
        </w:rPr>
      </w:pPr>
    </w:p>
    <w:p w:rsidR="005D6ED3" w:rsidRPr="005D6ED3" w:rsidRDefault="005D6ED3" w:rsidP="005D6ED3">
      <w:pPr>
        <w:rPr>
          <w:sz w:val="28"/>
          <w:szCs w:val="28"/>
        </w:rPr>
      </w:pPr>
    </w:p>
    <w:p w:rsidR="005D6ED3" w:rsidRPr="005D6ED3" w:rsidRDefault="005D6ED3" w:rsidP="005D6ED3">
      <w:pPr>
        <w:rPr>
          <w:sz w:val="28"/>
          <w:szCs w:val="28"/>
        </w:rPr>
      </w:pPr>
    </w:p>
    <w:p w:rsidR="005D6ED3" w:rsidRPr="005D6ED3" w:rsidRDefault="005D6ED3" w:rsidP="005D6ED3">
      <w:pPr>
        <w:rPr>
          <w:sz w:val="28"/>
          <w:szCs w:val="28"/>
        </w:rPr>
      </w:pPr>
      <w:r w:rsidRPr="005D6ED3">
        <w:rPr>
          <w:sz w:val="28"/>
          <w:szCs w:val="28"/>
        </w:rPr>
        <w:t>Міський голова</w:t>
      </w:r>
      <w:r w:rsidRPr="005D6ED3">
        <w:rPr>
          <w:sz w:val="28"/>
          <w:szCs w:val="28"/>
        </w:rPr>
        <w:tab/>
      </w:r>
      <w:r w:rsidRPr="005D6ED3">
        <w:rPr>
          <w:sz w:val="28"/>
          <w:szCs w:val="28"/>
        </w:rPr>
        <w:tab/>
      </w:r>
      <w:r w:rsidRPr="005D6ED3">
        <w:rPr>
          <w:sz w:val="28"/>
          <w:szCs w:val="28"/>
        </w:rPr>
        <w:tab/>
      </w:r>
      <w:r w:rsidRPr="005D6ED3">
        <w:rPr>
          <w:sz w:val="28"/>
          <w:szCs w:val="28"/>
        </w:rPr>
        <w:tab/>
      </w:r>
      <w:r w:rsidRPr="005D6ED3">
        <w:rPr>
          <w:sz w:val="28"/>
          <w:szCs w:val="28"/>
        </w:rPr>
        <w:tab/>
      </w:r>
      <w:r w:rsidRPr="005D6ED3">
        <w:rPr>
          <w:sz w:val="28"/>
          <w:szCs w:val="28"/>
        </w:rPr>
        <w:tab/>
      </w:r>
      <w:r w:rsidRPr="005D6ED3">
        <w:rPr>
          <w:sz w:val="28"/>
          <w:szCs w:val="28"/>
        </w:rPr>
        <w:tab/>
      </w:r>
      <w:r w:rsidRPr="005D6ED3">
        <w:rPr>
          <w:sz w:val="28"/>
          <w:szCs w:val="28"/>
        </w:rPr>
        <w:tab/>
        <w:t xml:space="preserve">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EAA" w:rsidRDefault="00705EAA">
      <w:r>
        <w:separator/>
      </w:r>
    </w:p>
  </w:endnote>
  <w:endnote w:type="continuationSeparator" w:id="0">
    <w:p w:rsidR="00705EAA" w:rsidRDefault="00705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EAA" w:rsidRDefault="00705EAA">
      <w:r>
        <w:separator/>
      </w:r>
    </w:p>
  </w:footnote>
  <w:footnote w:type="continuationSeparator" w:id="0">
    <w:p w:rsidR="00705EAA" w:rsidRDefault="00705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6ED3"/>
    <w:rsid w:val="00634E73"/>
    <w:rsid w:val="00653705"/>
    <w:rsid w:val="00654DC3"/>
    <w:rsid w:val="0066252A"/>
    <w:rsid w:val="006D0736"/>
    <w:rsid w:val="006D5737"/>
    <w:rsid w:val="006F2805"/>
    <w:rsid w:val="00705EAA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80DB7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A0FCC-F3E5-4104-83AA-1D1EF6DB3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1001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2023-03-29T12:21:00Z</dcterms:modified>
</cp:coreProperties>
</file>