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59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Комплексної схеми   розміщення тимчасових споруд для   здійснення підприємницької діяльності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59BD" w:rsidRPr="008859BD" w:rsidRDefault="008859BD" w:rsidP="008859BD">
      <w:pPr>
        <w:ind w:firstLine="720"/>
        <w:rPr>
          <w:sz w:val="28"/>
          <w:szCs w:val="28"/>
        </w:rPr>
      </w:pPr>
      <w:r w:rsidRPr="008859BD">
        <w:rPr>
          <w:sz w:val="28"/>
          <w:szCs w:val="28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 рішення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 Винники», з метою впорядкування тимчасових споруд для здійснення підприємницької діяльності у м. Винники, Винниківська міська рада</w:t>
      </w: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jc w:val="center"/>
        <w:rPr>
          <w:sz w:val="28"/>
          <w:szCs w:val="28"/>
        </w:rPr>
      </w:pPr>
      <w:bookmarkStart w:id="1" w:name="_GoBack"/>
      <w:bookmarkEnd w:id="1"/>
      <w:r w:rsidRPr="008859BD">
        <w:rPr>
          <w:sz w:val="28"/>
          <w:szCs w:val="28"/>
        </w:rPr>
        <w:t>вирішила:</w:t>
      </w: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 xml:space="preserve">            1. Доповнити Комплексну схему розміщення тимчасових споруд для здійснення підприємницької діяльності у м. Винники. (Додаток 1)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2. Після вступу в дію даного рішення провести конкурс щодо надання права на оформлення паспорта прив’язки тимчасової споруди.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 xml:space="preserve">3. Встановити, що у разі надходження заяв від кількох суб'єктів господарювання щодо одного вільного місця розміщення ТС у Комплексній </w:t>
      </w:r>
      <w:r w:rsidRPr="008859BD">
        <w:rPr>
          <w:sz w:val="28"/>
          <w:szCs w:val="28"/>
        </w:rPr>
        <w:lastRenderedPageBreak/>
        <w:t>схемі проводиться конкурс щодо надання права на оформлення паспорта прив'язки тимчасової споруди.</w:t>
      </w: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 xml:space="preserve">Міський голова       </w:t>
      </w:r>
      <w:r>
        <w:rPr>
          <w:sz w:val="28"/>
          <w:szCs w:val="28"/>
        </w:rPr>
        <w:t xml:space="preserve">                          </w:t>
      </w:r>
      <w:r w:rsidRPr="008859BD">
        <w:rPr>
          <w:sz w:val="28"/>
          <w:szCs w:val="28"/>
        </w:rPr>
        <w:t xml:space="preserve">                                                          В. Квурт</w:t>
      </w: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Додаток №1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До комплексної схеми розміщення тимчасових споруд для здійснення підприємницької діяльності у м.Винники</w:t>
      </w: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1. Вул.Галицька, 14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2. Вул.Винна гора, 10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3. Вул.Кільцева, 3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4. Вул.Хмельницького (біля джерела)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5. Вул.Винна гора-Івасюка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6. Вул.Галицька, 76а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7. Вул. Івасюка, 1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8. Вул.Спортова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9. Вул.Лугова, 16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10. Вул.Івасюка, 10</w:t>
      </w:r>
    </w:p>
    <w:p w:rsidR="008859BD" w:rsidRPr="008859BD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11. Вул.Шевченка, 50</w:t>
      </w:r>
    </w:p>
    <w:p w:rsidR="00213958" w:rsidRPr="006F2805" w:rsidRDefault="008859BD" w:rsidP="008859BD">
      <w:pPr>
        <w:rPr>
          <w:sz w:val="28"/>
          <w:szCs w:val="28"/>
        </w:rPr>
      </w:pPr>
      <w:r w:rsidRPr="008859BD">
        <w:rPr>
          <w:sz w:val="28"/>
          <w:szCs w:val="28"/>
        </w:rPr>
        <w:t>12. Вул.Кільцева-Сахарова(зупинка)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9A0" w:rsidRDefault="002E39A0">
      <w:r>
        <w:separator/>
      </w:r>
    </w:p>
  </w:endnote>
  <w:endnote w:type="continuationSeparator" w:id="0">
    <w:p w:rsidR="002E39A0" w:rsidRDefault="002E3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9A0" w:rsidRDefault="002E39A0">
      <w:r>
        <w:separator/>
      </w:r>
    </w:p>
  </w:footnote>
  <w:footnote w:type="continuationSeparator" w:id="0">
    <w:p w:rsidR="002E39A0" w:rsidRDefault="002E3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39A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59B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4D0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B180A-4936-4D51-9C04-DAF289BE3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1612</Words>
  <Characters>920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2023-04-11T11:17:00Z</dcterms:modified>
</cp:coreProperties>
</file>