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C062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1411</w:t>
            </w:r>
          </w:p>
        </w:tc>
      </w:tr>
      <w:tr w:rsidR="008C6E6E" w:rsidRPr="008C6E6E" w:rsidTr="008C6E6E">
        <w:tc>
          <w:tcPr>
            <w:tcW w:w="9628" w:type="dxa"/>
          </w:tcPr>
          <w:p w:rsidR="008C6E6E" w:rsidRDefault="001C062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внесення змін в рішення   Винниківської міської ради   №600 від 17.11.2016 р. "Про   затвердження правил благоустрою   території м. Винники"</w:t>
            </w:r>
          </w:p>
          <w:p w:rsidR="00BE7A3D" w:rsidRDefault="00BE7A3D" w:rsidP="00471A72">
            <w:pPr>
              <w:rPr>
                <w:sz w:val="28"/>
              </w:rPr>
            </w:pPr>
          </w:p>
        </w:tc>
        <w:tc>
          <w:tcPr>
            <w:tcW w:w="4814" w:type="dxa"/>
          </w:tcPr>
          <w:p w:rsidR="00BE7A3D" w:rsidRDefault="00BE7A3D" w:rsidP="00471A72">
            <w:pPr>
              <w:rPr>
                <w:sz w:val="28"/>
              </w:rPr>
            </w:pPr>
          </w:p>
        </w:tc>
      </w:tr>
    </w:tbl>
    <w:p w:rsidR="001C0620" w:rsidRPr="001C0620" w:rsidRDefault="001C0620" w:rsidP="001C0620">
      <w:pPr>
        <w:ind w:firstLine="720"/>
        <w:rPr>
          <w:sz w:val="28"/>
          <w:szCs w:val="28"/>
        </w:rPr>
      </w:pPr>
      <w:r w:rsidRPr="001C0620">
        <w:rPr>
          <w:sz w:val="28"/>
          <w:szCs w:val="28"/>
        </w:rPr>
        <w:t xml:space="preserve">З метою забезпечення належного утримання території міста Винники, керуючись Законом України «Про регулювання містобудівної діяльності», Законом України «Про благоустрій населених пунктів», Законом України «Про засади державної регуляторної політики у сфері господарської діяльності», Законом України «Про місцеве самоврядування в Україні», Винниківська міська рада </w:t>
      </w:r>
    </w:p>
    <w:p w:rsidR="001C0620" w:rsidRPr="001C0620" w:rsidRDefault="001C0620" w:rsidP="001C0620">
      <w:pPr>
        <w:rPr>
          <w:sz w:val="28"/>
          <w:szCs w:val="28"/>
        </w:rPr>
      </w:pPr>
    </w:p>
    <w:p w:rsidR="001C0620" w:rsidRPr="001C0620" w:rsidRDefault="001C0620" w:rsidP="001C0620">
      <w:pPr>
        <w:jc w:val="center"/>
        <w:rPr>
          <w:sz w:val="28"/>
          <w:szCs w:val="28"/>
        </w:rPr>
      </w:pPr>
      <w:r w:rsidRPr="001C0620">
        <w:rPr>
          <w:sz w:val="28"/>
          <w:szCs w:val="28"/>
        </w:rPr>
        <w:t>вирішила:</w:t>
      </w:r>
    </w:p>
    <w:p w:rsidR="001C0620" w:rsidRPr="001C0620" w:rsidRDefault="001C0620" w:rsidP="001C0620">
      <w:pPr>
        <w:rPr>
          <w:sz w:val="28"/>
          <w:szCs w:val="28"/>
        </w:rPr>
      </w:pPr>
    </w:p>
    <w:p w:rsidR="001C0620" w:rsidRPr="001C0620" w:rsidRDefault="001C0620" w:rsidP="001C0620">
      <w:pPr>
        <w:rPr>
          <w:sz w:val="28"/>
          <w:szCs w:val="28"/>
        </w:rPr>
      </w:pPr>
      <w:r w:rsidRPr="001C0620">
        <w:rPr>
          <w:sz w:val="28"/>
          <w:szCs w:val="28"/>
        </w:rPr>
        <w:t>1. Внести зміни у  Правила благоустрою території міста Винники, затверджені рішенням Винниківської міської ради №600 від 17.11.2016 р., доповнивши розділ IV Додатку 1 даного рішення пунктом 7 наступного змісту: «7. Забороняється складання на прибудинкових, а також прилеглих до об’єктів торгівлі та сфери послуг територіях, товарів та вільної тари, використовувати їх як господарські майданчики.</w:t>
      </w:r>
    </w:p>
    <w:p w:rsidR="001C0620" w:rsidRPr="001C0620" w:rsidRDefault="001C0620" w:rsidP="001C0620">
      <w:pPr>
        <w:rPr>
          <w:sz w:val="28"/>
          <w:szCs w:val="28"/>
        </w:rPr>
      </w:pPr>
      <w:r w:rsidRPr="001C0620">
        <w:rPr>
          <w:sz w:val="28"/>
          <w:szCs w:val="28"/>
        </w:rPr>
        <w:t>Власник та (або) користувач земельної ділянки зобов’язаний здійснювати обрізку омели, сухостою на деревах, які розташовані на належних їм ділянках, а також обрізку гілок чи дерев в межах ліній електропередач.».</w:t>
      </w:r>
    </w:p>
    <w:p w:rsidR="001C0620" w:rsidRPr="001C0620" w:rsidRDefault="001C0620" w:rsidP="001C0620">
      <w:pPr>
        <w:rPr>
          <w:sz w:val="28"/>
          <w:szCs w:val="28"/>
        </w:rPr>
      </w:pPr>
      <w:r w:rsidRPr="001C0620">
        <w:rPr>
          <w:sz w:val="28"/>
          <w:szCs w:val="28"/>
        </w:rPr>
        <w:t xml:space="preserve">2. Внести зміни у  Правила благоустрою території міста Винники, затверджені рішенням Винниківської міської ради №600 від 17.11.2016 р., доповнивши розділ VІІІ Додатку 1 даного рішення пунктом 23 наступного змісту: «23.Власники або користувачі житлової та не житлової нерухомості зобов’язані забезпечити обладнання належних їм об’єктів нерухомості контейнерною тарою для вивезення побутових відходів шляхом укладення договорів на вивіз </w:t>
      </w:r>
      <w:r w:rsidRPr="001C0620">
        <w:rPr>
          <w:sz w:val="28"/>
          <w:szCs w:val="28"/>
        </w:rPr>
        <w:lastRenderedPageBreak/>
        <w:t>побутових відходів із уповноваженим оператором, який надає послуги із вивезення побутових відходів ».</w:t>
      </w:r>
    </w:p>
    <w:p w:rsidR="001C0620" w:rsidRPr="001C0620" w:rsidRDefault="001C0620" w:rsidP="001C0620">
      <w:pPr>
        <w:rPr>
          <w:sz w:val="28"/>
          <w:szCs w:val="28"/>
        </w:rPr>
      </w:pPr>
      <w:r w:rsidRPr="001C0620">
        <w:rPr>
          <w:sz w:val="28"/>
          <w:szCs w:val="28"/>
        </w:rPr>
        <w:t xml:space="preserve">3. Внести зміни у  Правила благоустрою території міста Винники, затверджені рішенням Винниківської міської ради №600 від 17.11.2016 р., доповнивши розділ VІІІ Додатку 1 даного рішення пунктом 24 наступного змісту: «24.Власники житлової та не житлової нерухомості зобов’язані забезпечити підключення належних їм об’єктів нерухомості до існуючої централізованої каналізаційної мережі, централізованої мережі водопостачання та водовідведення, або, у випадку коли побудова такої мережі технічно чи економічно не обґрунтована, обладнати її вигрібною ямою та укласти договір із уповноваженим оператором, який надає послуги із вивезення рідких побутових відходів. </w:t>
      </w:r>
    </w:p>
    <w:p w:rsidR="001C0620" w:rsidRPr="001C0620" w:rsidRDefault="001C0620" w:rsidP="001C0620">
      <w:pPr>
        <w:rPr>
          <w:sz w:val="28"/>
          <w:szCs w:val="28"/>
        </w:rPr>
      </w:pPr>
      <w:r w:rsidRPr="001C0620">
        <w:rPr>
          <w:sz w:val="28"/>
          <w:szCs w:val="28"/>
        </w:rPr>
        <w:t>Забороняється самовільне підключення власників та (або) користувачів житлової та (або) нежитлової нерухомості до централізованої мережі водопостачання та(або) водовідведення та (або) каналізування.</w:t>
      </w:r>
    </w:p>
    <w:p w:rsidR="001C0620" w:rsidRPr="001C0620" w:rsidRDefault="001C0620" w:rsidP="001C0620">
      <w:pPr>
        <w:rPr>
          <w:sz w:val="28"/>
          <w:szCs w:val="28"/>
        </w:rPr>
      </w:pPr>
      <w:r w:rsidRPr="001C0620">
        <w:rPr>
          <w:sz w:val="28"/>
          <w:szCs w:val="28"/>
        </w:rPr>
        <w:t xml:space="preserve">Здійснення підключення власників та (або) користувачів житлової та (або) нежитлової нерухомості до централізованої мережі водопостачання та(або) водовідведення можливе виключно після укладення договору на надання послуг із централізованого постачання холодної води та водовідведення. </w:t>
      </w:r>
    </w:p>
    <w:p w:rsidR="001C0620" w:rsidRPr="001C0620" w:rsidRDefault="001C0620" w:rsidP="001C0620">
      <w:pPr>
        <w:rPr>
          <w:sz w:val="28"/>
          <w:szCs w:val="28"/>
        </w:rPr>
      </w:pPr>
      <w:r w:rsidRPr="001C0620">
        <w:rPr>
          <w:sz w:val="28"/>
          <w:szCs w:val="28"/>
        </w:rPr>
        <w:t xml:space="preserve">Здійснення скидання стоків від об’єктів житлової та (або) нежитлової нерухомості власниками та (або) користувачами до централізованої мережі каналізування можливе виключно після отримання технічних умов на підключення об’єктів, погодження робочого проекту, отримання дозволу на порушення благоустрою від ВКП «Добробут», отримання дозволу на підключення до централізованої мережі, укладення договору на надання послуг та підписання акту про розмежування мережі із МКП «Винниківське». </w:t>
      </w:r>
    </w:p>
    <w:p w:rsidR="001C0620" w:rsidRPr="001C0620" w:rsidRDefault="001C0620" w:rsidP="001C0620">
      <w:pPr>
        <w:rPr>
          <w:sz w:val="28"/>
          <w:szCs w:val="28"/>
        </w:rPr>
      </w:pPr>
      <w:r w:rsidRPr="001C0620">
        <w:rPr>
          <w:sz w:val="28"/>
          <w:szCs w:val="28"/>
        </w:rPr>
        <w:t>Здійснення підключення власників та (або) користувачів житлової та (або) нежитлової нерухомості до централізованої мережі водопостачання та(або) водовідведення при недотриманні хоча б одного з цих етапів вважається самовільним підключенням до централізованої мережі каналізування.</w:t>
      </w:r>
    </w:p>
    <w:p w:rsidR="001C0620" w:rsidRPr="001C0620" w:rsidRDefault="001C0620" w:rsidP="001C0620">
      <w:pPr>
        <w:rPr>
          <w:sz w:val="28"/>
          <w:szCs w:val="28"/>
        </w:rPr>
      </w:pPr>
      <w:r w:rsidRPr="001C0620">
        <w:rPr>
          <w:sz w:val="28"/>
          <w:szCs w:val="28"/>
        </w:rPr>
        <w:t>Забороняється підключення системи каналізування об’єктів житлової та нежитлової нерухомості  до системи ливневої каналізації і навпаки.».</w:t>
      </w:r>
    </w:p>
    <w:p w:rsidR="001C0620" w:rsidRPr="001C0620" w:rsidRDefault="001C0620" w:rsidP="001C0620">
      <w:pPr>
        <w:rPr>
          <w:sz w:val="28"/>
          <w:szCs w:val="28"/>
        </w:rPr>
      </w:pPr>
      <w:r w:rsidRPr="001C0620">
        <w:rPr>
          <w:sz w:val="28"/>
          <w:szCs w:val="28"/>
        </w:rPr>
        <w:t>4.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rsidR="001C0620" w:rsidRPr="001C0620" w:rsidRDefault="001C0620" w:rsidP="001C0620">
      <w:pPr>
        <w:rPr>
          <w:sz w:val="28"/>
          <w:szCs w:val="28"/>
        </w:rPr>
      </w:pPr>
    </w:p>
    <w:p w:rsidR="001C0620" w:rsidRPr="001C0620" w:rsidRDefault="001C0620" w:rsidP="001C0620">
      <w:pPr>
        <w:rPr>
          <w:sz w:val="28"/>
          <w:szCs w:val="28"/>
        </w:rPr>
      </w:pPr>
      <w:bookmarkStart w:id="1" w:name="_GoBack"/>
      <w:bookmarkEnd w:id="1"/>
    </w:p>
    <w:p w:rsidR="001C0620" w:rsidRPr="001C0620" w:rsidRDefault="001C0620" w:rsidP="001C0620">
      <w:pPr>
        <w:rPr>
          <w:sz w:val="28"/>
          <w:szCs w:val="28"/>
        </w:rPr>
      </w:pPr>
    </w:p>
    <w:p w:rsidR="001C0620" w:rsidRPr="001C0620" w:rsidRDefault="001C0620" w:rsidP="001C0620">
      <w:pPr>
        <w:rPr>
          <w:sz w:val="28"/>
          <w:szCs w:val="28"/>
        </w:rPr>
      </w:pPr>
    </w:p>
    <w:p w:rsidR="001C0620" w:rsidRPr="001C0620" w:rsidRDefault="001C0620" w:rsidP="001C0620">
      <w:pPr>
        <w:rPr>
          <w:sz w:val="28"/>
          <w:szCs w:val="28"/>
        </w:rPr>
      </w:pPr>
      <w:r w:rsidRPr="001C0620">
        <w:rPr>
          <w:sz w:val="28"/>
          <w:szCs w:val="28"/>
        </w:rPr>
        <w:t xml:space="preserve">Міський голова                </w:t>
      </w:r>
      <w:r>
        <w:rPr>
          <w:sz w:val="28"/>
          <w:szCs w:val="28"/>
        </w:rPr>
        <w:t xml:space="preserve">                        </w:t>
      </w:r>
      <w:r w:rsidRPr="001C0620">
        <w:rPr>
          <w:sz w:val="28"/>
          <w:szCs w:val="28"/>
        </w:rPr>
        <w:t xml:space="preserve">                                                   В. Квурт</w:t>
      </w:r>
    </w:p>
    <w:p w:rsidR="001C0620" w:rsidRPr="001C0620" w:rsidRDefault="001C0620" w:rsidP="001C0620">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54B" w:rsidRDefault="0053354B">
      <w:r>
        <w:separator/>
      </w:r>
    </w:p>
  </w:endnote>
  <w:endnote w:type="continuationSeparator" w:id="0">
    <w:p w:rsidR="0053354B" w:rsidRDefault="00533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54B" w:rsidRDefault="0053354B">
      <w:r>
        <w:separator/>
      </w:r>
    </w:p>
  </w:footnote>
  <w:footnote w:type="continuationSeparator" w:id="0">
    <w:p w:rsidR="0053354B" w:rsidRDefault="005335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C0620"/>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3354B"/>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2C50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FD919-C1E9-4864-B430-BD5F77467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2754</Words>
  <Characters>1570</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2023-05-03T12:00:00Z</dcterms:modified>
</cp:coreProperties>
</file>