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E257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міський  бюджет м. Винники на 2019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E2574" w:rsidRPr="007E2574" w:rsidRDefault="007E2574" w:rsidP="007E2574">
      <w:pPr>
        <w:ind w:firstLine="720"/>
        <w:rPr>
          <w:sz w:val="28"/>
          <w:szCs w:val="28"/>
        </w:rPr>
      </w:pPr>
      <w:r w:rsidRPr="007E2574">
        <w:rPr>
          <w:sz w:val="28"/>
          <w:szCs w:val="28"/>
        </w:rPr>
        <w:t xml:space="preserve">Керуючись Бюджетним кодексом України, Законом України « Про місцеве самоврядування»,  Винниківська  міська  рада </w:t>
      </w:r>
    </w:p>
    <w:p w:rsidR="007E2574" w:rsidRPr="007E2574" w:rsidRDefault="007E2574" w:rsidP="007E2574">
      <w:pPr>
        <w:jc w:val="center"/>
        <w:rPr>
          <w:sz w:val="28"/>
          <w:szCs w:val="28"/>
        </w:rPr>
      </w:pPr>
      <w:r w:rsidRPr="007E2574">
        <w:rPr>
          <w:sz w:val="28"/>
          <w:szCs w:val="28"/>
        </w:rPr>
        <w:t>ВИРІШИЛА:</w:t>
      </w:r>
    </w:p>
    <w:p w:rsidR="007E2574" w:rsidRPr="007E2574" w:rsidRDefault="007E2574" w:rsidP="007E2574">
      <w:pPr>
        <w:rPr>
          <w:sz w:val="28"/>
          <w:szCs w:val="28"/>
        </w:rPr>
      </w:pPr>
    </w:p>
    <w:p w:rsidR="007E2574" w:rsidRPr="007E2574" w:rsidRDefault="007E2574" w:rsidP="007E25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E2574">
        <w:rPr>
          <w:sz w:val="28"/>
          <w:szCs w:val="28"/>
        </w:rPr>
        <w:t>1. Визначити на 2019 рік: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-  доходи міського бюджету м. Винники у сумі 84 321 000 грн., в тому числі доходи загального фонду міського бюджету м. Винники 22 314 000 грн., доходи спеціального фонду міського бюджету м. Винники  62 007 000 грн., згідно з додатком 1  до цього рішення;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-  видатки міського бюджету м.Винники у сумі 84 321 000  грн., в тому числі видатки загального фонду міського бюджету м.Винники 22 314 000 грн., видатки спеціального фонду міського бюджету м.Винники  62 007 000 грн.;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- оборотний залишок бюджетних коштів міського бюджету м. Винники у сумі  50 000 гривень згідно з додатком 2  до цього рішення.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2. Затвердити бюджетні призначення  головним розпорядникам коштів міського бюджету м. Винники на 2019 рік згідно з додатком 3   до цього рішення ; 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3. Надати згоду на отримання коштів  у вигляді міжбюджетного трансферту(субвенції) міському бюджету м.Винники на розвиток інфраструктури міста у сумі 27 000 000 гривень, згідно ухвали Львівської міської ради № 4249 від 29.11.2018 р.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1) доручити міському голові м. Винники укласти угоду (договір) про надання  субвенції з представником  Львівської міської ради;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2) затвердити на 2019 рік міжбюджетні трансферти згідно з додатком 4 до цього рішення.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4.  Затвердити   розподіл коштів бюджету розвитку за об’єктами у 2019 році  згідно з додатком 5  до цього рішення.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lastRenderedPageBreak/>
        <w:t>5.  Затвердити розподіл витрат міського бюджету м. Винники  на реалізацію місцевих (регіональних) програм у сумі   11900200  грн.  згідно з додатком 6 до цього  рішення  .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6. Установити, що у загальному фонді міського бюджету на 2019  рік: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до доходів загального фонду міського бюджету належать доходи, визначені статтею 9 та 69  Бюджетного кодексу України: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- податкові надходження 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- неподаткові надходження 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7 Установити, що джерелами формування спеціального фонду міського бюджету на 2019 рік: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у частині доходів є надходження, визначені статтею  9 ,691,71  Бюджетного кодексу України, а також такі надходження відповідно до Закону України «Про Державний бюджет України 2019рік» :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-  податкові надходження 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-  неподаткові надходження;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- доходи від операцій з капіталом;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- трансферти.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8. Визначити на 2019 рік відповідно до статті 55  Бюджетного кодексу України захищеними видатками міського бюджету видатки загального фонду на: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-     оплата праці працівників бюджетних установ;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-     нарахування на заробітну плату;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-     оплата комунальних послуг та енергоносіїв;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-     поточні трансферти населенню;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-     поточні трансферти місцевим бюджетам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.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9. Надати  право виконавчому комітету Винниківської  міської ради :  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1) надавати згоду на отримання міжбюджетного трансферту (субвенції) із бюджетів усіх рівнів у міський  бюджет міста Винники;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2) здійснювати перерозподіл доходів та (або) видатків, що веде до зміни затверджених бюджетних призначень головного розпорядника коштів міського бюджету м.Винники у межах загального та спеціального фондів, у тому числі необхідних для відображення та використання коштів міжбюджетного трансферту (субвенції) за погодженням  з постійною комісією з питань фінансів, планування бюджету та контролю над дохідною та видатковою частинами;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3) вносити зміни до переліку об’єктів, які фінансуються з загального та спеціального фондів міського бюджету м.Винники, у тому числі на суму, необхідну для відображення  та  використання коштів міжбюджетного трансферту (субвенції) за погодженням  з постійною комісією з питань фінансів, планування бюджету та контролю над дохідною та видатковою частинами;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4) право приймати програми використання коштів загального та спеціального фондів міського бюджету;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lastRenderedPageBreak/>
        <w:t>5) вчиняти інші дії, пов’язані із міським бюджетом м .Винники , в тому числі необхідні для відображення та використання коштів міжбюджетного трансферту (субвенції).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10.  Забезпечити головному розпоряднику коштів міського бюджету виконання норм Бюджетного кодексу України стосовно: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1) затвердження паспортів бюджетних програм протягом 45 днів з дня набрання чинності цим рішенням;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2) здійснення управління бюджетними коштами у межах встановлених їм бюджетних повноважень та оцінки ефективності бюджетних програм, забезпечуючи ефективне, результативне і цільове використання бюджетних коштів, організацію  та координацію роботи  одержувачів бюджетних коштів у бюджетному процесі;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3) забезпечення доступності інформації про бюджет відповідно до законодавства, а саме: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здійснення публічного представлення та публікації інформації про бюджет за бюджетними програмами та показниками, бюджетні призначення щодо яких визначені цим рішенням, відповідно до вимог та за формою, встановленими Міністерством фінансів України, в термін згідно чинного законодавства;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оприлюднення паспортів бюджетних програм в термін згідно чинного законодавства . 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>4) забезпечення у повному обсязі проведення розрахунків за електричну та теплову енергію, водопостачання, водовідведення, природний газ та послуги зв’язку, які споживаються бюджетними установами, та укладання договорів за кожним видом енергоносіїв у межах встановлених відповідним головним розпорядником бюджетних коштів обґрунтованих лімітів споживання тощо.</w:t>
      </w:r>
    </w:p>
    <w:p w:rsidR="007E2574" w:rsidRPr="007E2574" w:rsidRDefault="007E2574" w:rsidP="007E25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E2574">
        <w:rPr>
          <w:sz w:val="28"/>
          <w:szCs w:val="28"/>
        </w:rPr>
        <w:t xml:space="preserve"> 11.   Встановити, що у міському бюджеті м. Винники на 2019 рік враховані кошти на:</w:t>
      </w:r>
    </w:p>
    <w:p w:rsidR="007E2574" w:rsidRPr="007E2574" w:rsidRDefault="007E2574" w:rsidP="007E257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E2574">
        <w:rPr>
          <w:sz w:val="28"/>
          <w:szCs w:val="28"/>
        </w:rPr>
        <w:t>-   надання одноразової допомоги для мешканців м. Винники;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 -   надання одноразової матеріальної допомоги на поховання для пільгової категорії населення та соціально незахищених осіб.      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     </w:t>
      </w: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 12.   Додатки  1,2,3,4,5,6 до цього рішення є його невід’ємною частиною. </w:t>
      </w:r>
    </w:p>
    <w:p w:rsid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        </w:t>
      </w:r>
    </w:p>
    <w:p w:rsidR="007E2574" w:rsidRPr="007E2574" w:rsidRDefault="007E2574" w:rsidP="007E25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1" w:name="_GoBack"/>
      <w:bookmarkEnd w:id="1"/>
      <w:r>
        <w:rPr>
          <w:sz w:val="28"/>
          <w:szCs w:val="28"/>
        </w:rPr>
        <w:t xml:space="preserve"> </w:t>
      </w:r>
      <w:r w:rsidRPr="007E2574">
        <w:rPr>
          <w:sz w:val="28"/>
          <w:szCs w:val="28"/>
        </w:rPr>
        <w:t>13.  Це рішення набирає  чинності  з 01.01.2019 р.</w:t>
      </w:r>
    </w:p>
    <w:p w:rsid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        </w:t>
      </w:r>
    </w:p>
    <w:p w:rsidR="007E2574" w:rsidRPr="007E2574" w:rsidRDefault="007E2574" w:rsidP="007E257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E2574">
        <w:rPr>
          <w:sz w:val="28"/>
          <w:szCs w:val="28"/>
        </w:rPr>
        <w:t>14.  Контроль за виконання рішення покласти на постійну комісію з питань фінансів планування бюджету та контролю над дохідною та видатковою частинами.</w:t>
      </w:r>
    </w:p>
    <w:p w:rsidR="007E2574" w:rsidRPr="007E2574" w:rsidRDefault="007E2574" w:rsidP="007E2574">
      <w:pPr>
        <w:rPr>
          <w:sz w:val="28"/>
          <w:szCs w:val="28"/>
        </w:rPr>
      </w:pPr>
    </w:p>
    <w:p w:rsidR="007E2574" w:rsidRPr="007E2574" w:rsidRDefault="007E2574" w:rsidP="007E2574">
      <w:pPr>
        <w:rPr>
          <w:sz w:val="28"/>
          <w:szCs w:val="28"/>
        </w:rPr>
      </w:pPr>
    </w:p>
    <w:p w:rsidR="007E2574" w:rsidRPr="007E2574" w:rsidRDefault="007E2574" w:rsidP="007E2574">
      <w:pPr>
        <w:rPr>
          <w:sz w:val="28"/>
          <w:szCs w:val="28"/>
        </w:rPr>
      </w:pPr>
      <w:r w:rsidRPr="007E2574">
        <w:rPr>
          <w:sz w:val="28"/>
          <w:szCs w:val="28"/>
        </w:rPr>
        <w:t xml:space="preserve">    Міський голова </w:t>
      </w:r>
      <w:r w:rsidRPr="007E2574">
        <w:rPr>
          <w:sz w:val="28"/>
          <w:szCs w:val="28"/>
        </w:rPr>
        <w:tab/>
      </w:r>
      <w:r w:rsidRPr="007E2574">
        <w:rPr>
          <w:sz w:val="28"/>
          <w:szCs w:val="28"/>
        </w:rPr>
        <w:tab/>
      </w:r>
      <w:r w:rsidRPr="007E2574">
        <w:rPr>
          <w:sz w:val="28"/>
          <w:szCs w:val="28"/>
        </w:rPr>
        <w:tab/>
      </w:r>
      <w:r w:rsidRPr="007E2574">
        <w:rPr>
          <w:sz w:val="28"/>
          <w:szCs w:val="28"/>
        </w:rPr>
        <w:tab/>
      </w:r>
      <w:r w:rsidRPr="007E2574">
        <w:rPr>
          <w:sz w:val="28"/>
          <w:szCs w:val="28"/>
        </w:rPr>
        <w:tab/>
      </w:r>
      <w:r w:rsidRPr="007E2574">
        <w:rPr>
          <w:sz w:val="28"/>
          <w:szCs w:val="28"/>
        </w:rPr>
        <w:tab/>
      </w:r>
      <w:r w:rsidRPr="007E2574">
        <w:rPr>
          <w:sz w:val="28"/>
          <w:szCs w:val="28"/>
        </w:rPr>
        <w:tab/>
      </w:r>
      <w:r w:rsidRPr="007E2574">
        <w:rPr>
          <w:sz w:val="28"/>
          <w:szCs w:val="28"/>
        </w:rPr>
        <w:tab/>
        <w:t xml:space="preserve">В.Л.Квурт </w:t>
      </w:r>
    </w:p>
    <w:p w:rsidR="007E2574" w:rsidRPr="007E2574" w:rsidRDefault="007E2574" w:rsidP="007E2574">
      <w:pPr>
        <w:rPr>
          <w:sz w:val="28"/>
          <w:szCs w:val="28"/>
        </w:rPr>
      </w:pPr>
    </w:p>
    <w:p w:rsidR="007E2574" w:rsidRPr="007E2574" w:rsidRDefault="007E2574" w:rsidP="007E2574">
      <w:pPr>
        <w:rPr>
          <w:sz w:val="28"/>
          <w:szCs w:val="28"/>
        </w:rPr>
      </w:pPr>
    </w:p>
    <w:p w:rsidR="007E2574" w:rsidRPr="007E2574" w:rsidRDefault="007E2574" w:rsidP="007E2574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E19" w:rsidRDefault="009A6E19">
      <w:r>
        <w:separator/>
      </w:r>
    </w:p>
  </w:endnote>
  <w:endnote w:type="continuationSeparator" w:id="0">
    <w:p w:rsidR="009A6E19" w:rsidRDefault="009A6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E19" w:rsidRDefault="009A6E19">
      <w:r>
        <w:separator/>
      </w:r>
    </w:p>
  </w:footnote>
  <w:footnote w:type="continuationSeparator" w:id="0">
    <w:p w:rsidR="009A6E19" w:rsidRDefault="009A6E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257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6E19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9D3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C63AC-B066-47AB-9A74-BA57F671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3961</Words>
  <Characters>2259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2023-05-22T12:02:00Z</dcterms:modified>
</cp:coreProperties>
</file>