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843F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843F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 прогноз міського бюджету    м. Винники на  середньостроковий  період  2021-2022 років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843F9" w:rsidRPr="00F843F9" w:rsidRDefault="00F843F9" w:rsidP="00F843F9">
      <w:pPr>
        <w:rPr>
          <w:sz w:val="28"/>
          <w:szCs w:val="28"/>
        </w:rPr>
      </w:pPr>
      <w:r w:rsidRPr="00F843F9">
        <w:rPr>
          <w:sz w:val="28"/>
          <w:szCs w:val="28"/>
        </w:rPr>
        <w:t xml:space="preserve">        Керуючись  Бюджетним кодексом  України , Законом України « Про місцеве самоврядування в Україні» , Винниківська  міська   рада</w:t>
      </w:r>
    </w:p>
    <w:p w:rsidR="00F843F9" w:rsidRPr="00F843F9" w:rsidRDefault="00F843F9" w:rsidP="00F843F9">
      <w:pPr>
        <w:rPr>
          <w:sz w:val="28"/>
          <w:szCs w:val="28"/>
        </w:rPr>
      </w:pPr>
    </w:p>
    <w:p w:rsidR="00F843F9" w:rsidRPr="00F843F9" w:rsidRDefault="00F843F9" w:rsidP="00F843F9">
      <w:pPr>
        <w:jc w:val="center"/>
        <w:rPr>
          <w:sz w:val="28"/>
          <w:szCs w:val="28"/>
        </w:rPr>
      </w:pPr>
      <w:r w:rsidRPr="00F843F9">
        <w:rPr>
          <w:sz w:val="28"/>
          <w:szCs w:val="28"/>
        </w:rPr>
        <w:t>ВИРІШИЛА :</w:t>
      </w:r>
    </w:p>
    <w:p w:rsidR="00F843F9" w:rsidRPr="00F843F9" w:rsidRDefault="00F843F9" w:rsidP="00F843F9">
      <w:pPr>
        <w:rPr>
          <w:sz w:val="28"/>
          <w:szCs w:val="28"/>
        </w:rPr>
      </w:pPr>
    </w:p>
    <w:p w:rsidR="00F843F9" w:rsidRPr="00F843F9" w:rsidRDefault="00F843F9" w:rsidP="00F843F9">
      <w:pPr>
        <w:rPr>
          <w:sz w:val="28"/>
          <w:szCs w:val="28"/>
        </w:rPr>
      </w:pPr>
    </w:p>
    <w:p w:rsidR="00F843F9" w:rsidRPr="00F843F9" w:rsidRDefault="00F843F9" w:rsidP="00F843F9">
      <w:pPr>
        <w:rPr>
          <w:sz w:val="28"/>
          <w:szCs w:val="28"/>
        </w:rPr>
      </w:pPr>
      <w:r w:rsidRPr="00F843F9">
        <w:rPr>
          <w:sz w:val="28"/>
          <w:szCs w:val="28"/>
        </w:rPr>
        <w:t>1.</w:t>
      </w:r>
      <w:r w:rsidRPr="00F843F9">
        <w:rPr>
          <w:sz w:val="28"/>
          <w:szCs w:val="28"/>
        </w:rPr>
        <w:tab/>
        <w:t>Схвалити  на 2021-2022 роки:</w:t>
      </w:r>
    </w:p>
    <w:p w:rsidR="00F843F9" w:rsidRPr="00F843F9" w:rsidRDefault="00F843F9" w:rsidP="00F843F9">
      <w:pPr>
        <w:rPr>
          <w:sz w:val="28"/>
          <w:szCs w:val="28"/>
        </w:rPr>
      </w:pPr>
    </w:p>
    <w:p w:rsidR="00F843F9" w:rsidRPr="00F843F9" w:rsidRDefault="00F843F9" w:rsidP="00F843F9">
      <w:pPr>
        <w:rPr>
          <w:sz w:val="28"/>
          <w:szCs w:val="28"/>
        </w:rPr>
      </w:pPr>
      <w:r w:rsidRPr="00F843F9">
        <w:rPr>
          <w:sz w:val="28"/>
          <w:szCs w:val="28"/>
        </w:rPr>
        <w:t xml:space="preserve">      1.1. Прогноз основних показників міського бюджету м.Винники згідно  з додатком 1;</w:t>
      </w:r>
    </w:p>
    <w:p w:rsidR="00F843F9" w:rsidRPr="00F843F9" w:rsidRDefault="00F843F9" w:rsidP="00F843F9">
      <w:pPr>
        <w:rPr>
          <w:sz w:val="28"/>
          <w:szCs w:val="28"/>
        </w:rPr>
      </w:pPr>
      <w:r w:rsidRPr="00F843F9">
        <w:rPr>
          <w:sz w:val="28"/>
          <w:szCs w:val="28"/>
        </w:rPr>
        <w:t>1.2. Прогноз доходів  міського бюджету  м.Винники  згідно з  додатком 2;</w:t>
      </w:r>
    </w:p>
    <w:p w:rsidR="00F843F9" w:rsidRPr="00F843F9" w:rsidRDefault="00F843F9" w:rsidP="00F843F9">
      <w:pPr>
        <w:rPr>
          <w:sz w:val="28"/>
          <w:szCs w:val="28"/>
        </w:rPr>
      </w:pPr>
      <w:r w:rsidRPr="00F843F9">
        <w:rPr>
          <w:sz w:val="28"/>
          <w:szCs w:val="28"/>
        </w:rPr>
        <w:t>1.3. Прогноз  видатків міського бюджету м. Винники  згідно з додатком 3;</w:t>
      </w:r>
    </w:p>
    <w:p w:rsidR="00F843F9" w:rsidRPr="00F843F9" w:rsidRDefault="00F843F9" w:rsidP="00F843F9">
      <w:pPr>
        <w:rPr>
          <w:sz w:val="28"/>
          <w:szCs w:val="28"/>
        </w:rPr>
      </w:pPr>
      <w:r w:rsidRPr="00F843F9">
        <w:rPr>
          <w:sz w:val="28"/>
          <w:szCs w:val="28"/>
        </w:rPr>
        <w:t xml:space="preserve"> 2.   Контроль за виконання рішення покласти на постійну комісію з питань фінансів </w:t>
      </w:r>
    </w:p>
    <w:p w:rsidR="00F843F9" w:rsidRPr="00F843F9" w:rsidRDefault="00F843F9" w:rsidP="00F843F9">
      <w:pPr>
        <w:rPr>
          <w:sz w:val="28"/>
          <w:szCs w:val="28"/>
        </w:rPr>
      </w:pPr>
      <w:r w:rsidRPr="00F843F9">
        <w:rPr>
          <w:sz w:val="28"/>
          <w:szCs w:val="28"/>
        </w:rPr>
        <w:t>планування бюджету та контролю над дохідною та видатковою частинами.</w:t>
      </w:r>
    </w:p>
    <w:p w:rsidR="00F843F9" w:rsidRDefault="00F843F9" w:rsidP="00F843F9">
      <w:pPr>
        <w:rPr>
          <w:sz w:val="28"/>
          <w:szCs w:val="28"/>
        </w:rPr>
      </w:pPr>
    </w:p>
    <w:p w:rsidR="00F843F9" w:rsidRDefault="00F843F9" w:rsidP="00F843F9">
      <w:pPr>
        <w:rPr>
          <w:sz w:val="28"/>
          <w:szCs w:val="28"/>
        </w:rPr>
      </w:pPr>
    </w:p>
    <w:p w:rsidR="00F843F9" w:rsidRPr="00F843F9" w:rsidRDefault="00F843F9" w:rsidP="00F843F9">
      <w:pPr>
        <w:rPr>
          <w:sz w:val="28"/>
          <w:szCs w:val="28"/>
        </w:rPr>
      </w:pPr>
      <w:bookmarkStart w:id="1" w:name="_GoBack"/>
      <w:bookmarkEnd w:id="1"/>
    </w:p>
    <w:p w:rsidR="00F843F9" w:rsidRPr="00F843F9" w:rsidRDefault="00F843F9" w:rsidP="00F843F9">
      <w:pPr>
        <w:rPr>
          <w:sz w:val="28"/>
          <w:szCs w:val="28"/>
        </w:rPr>
      </w:pPr>
      <w:r w:rsidRPr="00F843F9">
        <w:rPr>
          <w:sz w:val="28"/>
          <w:szCs w:val="28"/>
        </w:rPr>
        <w:t xml:space="preserve">    Міський голова </w:t>
      </w:r>
      <w:r w:rsidRPr="00F843F9">
        <w:rPr>
          <w:sz w:val="28"/>
          <w:szCs w:val="28"/>
        </w:rPr>
        <w:tab/>
      </w:r>
      <w:r w:rsidRPr="00F843F9">
        <w:rPr>
          <w:sz w:val="28"/>
          <w:szCs w:val="28"/>
        </w:rPr>
        <w:tab/>
      </w:r>
      <w:r w:rsidRPr="00F843F9">
        <w:rPr>
          <w:sz w:val="28"/>
          <w:szCs w:val="28"/>
        </w:rPr>
        <w:tab/>
      </w:r>
      <w:r w:rsidRPr="00F843F9">
        <w:rPr>
          <w:sz w:val="28"/>
          <w:szCs w:val="28"/>
        </w:rPr>
        <w:tab/>
      </w:r>
      <w:r w:rsidRPr="00F843F9">
        <w:rPr>
          <w:sz w:val="28"/>
          <w:szCs w:val="28"/>
        </w:rPr>
        <w:tab/>
      </w:r>
      <w:r w:rsidRPr="00F843F9">
        <w:rPr>
          <w:sz w:val="28"/>
          <w:szCs w:val="28"/>
        </w:rPr>
        <w:tab/>
      </w:r>
      <w:r w:rsidRPr="00F843F9">
        <w:rPr>
          <w:sz w:val="28"/>
          <w:szCs w:val="28"/>
        </w:rPr>
        <w:tab/>
      </w:r>
      <w:r w:rsidRPr="00F843F9">
        <w:rPr>
          <w:sz w:val="28"/>
          <w:szCs w:val="28"/>
        </w:rPr>
        <w:tab/>
        <w:t xml:space="preserve">В.Л.Квурт 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6BA" w:rsidRDefault="00DD56BA">
      <w:r>
        <w:separator/>
      </w:r>
    </w:p>
  </w:endnote>
  <w:endnote w:type="continuationSeparator" w:id="0">
    <w:p w:rsidR="00DD56BA" w:rsidRDefault="00DD5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6BA" w:rsidRDefault="00DD56BA">
      <w:r>
        <w:separator/>
      </w:r>
    </w:p>
  </w:footnote>
  <w:footnote w:type="continuationSeparator" w:id="0">
    <w:p w:rsidR="00DD56BA" w:rsidRDefault="00DD56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56B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43F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A96B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922C4-063D-4542-8B82-195658E36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668</Words>
  <Characters>381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2023-07-04T07:34:00Z</dcterms:modified>
</cp:coreProperties>
</file>