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E0F1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0F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 завершених будівництвом об'єктів  зовнішнього освітлення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0F18" w:rsidRPr="00CE0F18" w:rsidRDefault="00CE0F18" w:rsidP="00CE0F18">
      <w:pPr>
        <w:ind w:firstLine="720"/>
        <w:rPr>
          <w:sz w:val="28"/>
          <w:szCs w:val="28"/>
        </w:rPr>
      </w:pPr>
      <w:bookmarkStart w:id="1" w:name="_GoBack"/>
      <w:bookmarkEnd w:id="1"/>
      <w:r w:rsidRPr="00CE0F18">
        <w:rPr>
          <w:sz w:val="28"/>
          <w:szCs w:val="28"/>
        </w:rPr>
        <w:t>Розглянувши заяву ТзОВ «Квіти Львова плюс» вх № 1598/04-20/18 від 20.07.2020 року, керуючись Законом України “Про місцеве самоврядування в Україні”, з метою забезпечення належної експлуатації об’єктів зовнішнього освітлення м. Винники, Винниківська міська рада</w:t>
      </w: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  <w:r w:rsidRPr="00CE0F18">
        <w:rPr>
          <w:sz w:val="28"/>
          <w:szCs w:val="28"/>
        </w:rPr>
        <w:t xml:space="preserve">                                                 ВИРІШИЛА:</w:t>
      </w: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  <w:r w:rsidRPr="00CE0F18">
        <w:rPr>
          <w:sz w:val="28"/>
          <w:szCs w:val="28"/>
        </w:rPr>
        <w:t>1. Надати згоду на прийняття безоплатно у власність територіальної громади м. Винники від  ТзОВ «Квіти Львова плюс» завершені будівництвом об’єкти зовнішнього освітлення м. Винники балансовою вартістю 212 660 (двісті дванадцять тисяч шістсот шістдесят) грн, згідно з додатками 1.</w:t>
      </w:r>
    </w:p>
    <w:p w:rsidR="00CE0F18" w:rsidRPr="00CE0F18" w:rsidRDefault="00CE0F18" w:rsidP="00CE0F18">
      <w:pPr>
        <w:rPr>
          <w:sz w:val="28"/>
          <w:szCs w:val="28"/>
        </w:rPr>
      </w:pPr>
      <w:r w:rsidRPr="00CE0F18">
        <w:rPr>
          <w:sz w:val="28"/>
          <w:szCs w:val="28"/>
        </w:rPr>
        <w:t>2. Після прийняття у власність територіальної громади м. Винники у встановленому порядку передати об’єкти зовнішнього освітлення, зазначені в пункті 1 цього рішення, на обслуговування ВКП «Добробут».</w:t>
      </w:r>
    </w:p>
    <w:p w:rsidR="00CE0F18" w:rsidRPr="00CE0F18" w:rsidRDefault="00CE0F18" w:rsidP="00CE0F18">
      <w:pPr>
        <w:rPr>
          <w:sz w:val="28"/>
          <w:szCs w:val="28"/>
        </w:rPr>
      </w:pPr>
      <w:r w:rsidRPr="00CE0F18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</w:t>
      </w:r>
      <w:r>
        <w:rPr>
          <w:sz w:val="28"/>
          <w:szCs w:val="28"/>
        </w:rPr>
        <w:t>одарства та фінансової політики</w:t>
      </w: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  <w:r w:rsidRPr="00CE0F18">
        <w:rPr>
          <w:sz w:val="28"/>
          <w:szCs w:val="28"/>
        </w:rPr>
        <w:t xml:space="preserve">Міський голова                                                                </w:t>
      </w:r>
      <w:r>
        <w:rPr>
          <w:sz w:val="28"/>
          <w:szCs w:val="28"/>
        </w:rPr>
        <w:t xml:space="preserve">                         </w:t>
      </w:r>
      <w:r w:rsidRPr="00CE0F18">
        <w:rPr>
          <w:sz w:val="28"/>
          <w:szCs w:val="28"/>
        </w:rPr>
        <w:t>В.Л.Квурт</w:t>
      </w: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</w:p>
    <w:p w:rsidR="00CE0F18" w:rsidRPr="00CE0F18" w:rsidRDefault="00CE0F18" w:rsidP="00CE0F1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791" w:rsidRDefault="004A4791">
      <w:r>
        <w:separator/>
      </w:r>
    </w:p>
  </w:endnote>
  <w:endnote w:type="continuationSeparator" w:id="0">
    <w:p w:rsidR="004A4791" w:rsidRDefault="004A4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791" w:rsidRDefault="004A4791">
      <w:r>
        <w:separator/>
      </w:r>
    </w:p>
  </w:footnote>
  <w:footnote w:type="continuationSeparator" w:id="0">
    <w:p w:rsidR="004A4791" w:rsidRDefault="004A4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791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0F18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D44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912E5-0F0E-4361-A31C-7C831479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2023-07-25T07:45:00Z</dcterms:modified>
</cp:coreProperties>
</file>