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4"/>
          <w:szCs w:val="6"/>
          <w:lang w:val="uk-UA"/>
        </w:rPr>
      </w:pPr>
      <w:r>
        <w:rPr>
          <w:b/>
          <w:sz w:val="4"/>
          <w:szCs w:val="6"/>
          <w:lang w:val="uk-UA"/>
        </w:rPr>
      </w:r>
    </w:p>
    <w:p>
      <w:pPr>
        <w:pStyle w:val="Normal"/>
        <w:spacing w:before="0" w:after="120"/>
        <w:jc w:val="center"/>
        <w:rPr>
          <w:sz w:val="20"/>
          <w:szCs w:val="28"/>
        </w:rPr>
      </w:pPr>
      <w:r>
        <w:rPr>
          <w:b/>
          <w:szCs w:val="28"/>
          <w:lang w:val="uk-UA"/>
        </w:rPr>
        <w:t xml:space="preserve">Умови кредитування АТ «КБ «ГЛОБУС» ОСББ та ЖБК на заходи з енергозбереження у рамках програм </w:t>
        <w:br/>
        <w:t>«Теплий дім»</w:t>
      </w:r>
      <w:r>
        <w:rPr>
          <w:b/>
          <w:szCs w:val="28"/>
        </w:rPr>
        <w:t xml:space="preserve"> </w:t>
      </w:r>
      <w:r>
        <w:rPr>
          <w:b/>
          <w:szCs w:val="28"/>
          <w:lang w:val="uk-UA"/>
        </w:rPr>
        <w:t>та «Енергодім», «ГрінДІМ» та «ДОСТУПНІ КРЕДИТИ 5-7-9%»</w:t>
      </w:r>
    </w:p>
    <w:p>
      <w:pPr>
        <w:pStyle w:val="Normal"/>
        <w:spacing w:lineRule="auto" w:line="360"/>
        <w:jc w:val="center"/>
        <w:rPr>
          <w:szCs w:val="28"/>
        </w:rPr>
      </w:pPr>
      <w:r>
        <w:rPr>
          <w:b/>
          <w:i/>
          <w:szCs w:val="28"/>
          <w:lang w:val="uk-UA"/>
        </w:rPr>
        <w:t xml:space="preserve">(станом на </w:t>
      </w:r>
      <w:r>
        <w:rPr>
          <w:b/>
          <w:i/>
          <w:szCs w:val="28"/>
          <w:lang w:val="uk-UA"/>
        </w:rPr>
        <w:t>0</w:t>
      </w:r>
      <w:r>
        <w:rPr>
          <w:b/>
          <w:i/>
          <w:szCs w:val="28"/>
          <w:lang w:val="en-US"/>
        </w:rPr>
        <w:t>1</w:t>
      </w:r>
      <w:r>
        <w:rPr>
          <w:b/>
          <w:i/>
          <w:szCs w:val="28"/>
          <w:lang w:val="uk-UA"/>
        </w:rPr>
        <w:t>.</w:t>
      </w:r>
      <w:r>
        <w:rPr>
          <w:b/>
          <w:i/>
          <w:szCs w:val="28"/>
          <w:lang w:val="uk-UA"/>
        </w:rPr>
        <w:t>10</w:t>
      </w:r>
      <w:r>
        <w:rPr>
          <w:b/>
          <w:i/>
          <w:szCs w:val="28"/>
          <w:lang w:val="uk-UA"/>
        </w:rPr>
        <w:t>.2025)</w:t>
      </w:r>
    </w:p>
    <w:tbl>
      <w:tblPr>
        <w:tblW w:w="4800" w:type="pct"/>
        <w:jc w:val="center"/>
        <w:tblInd w:w="0" w:type="dxa"/>
        <w:tblLayout w:type="fixed"/>
        <w:tblCellMar>
          <w:top w:w="0" w:type="dxa"/>
          <w:start w:w="108" w:type="dxa"/>
          <w:bottom w:w="0" w:type="dxa"/>
          <w:end w:w="108" w:type="dxa"/>
        </w:tblCellMar>
        <w:tblLook w:firstRow="0" w:noVBand="0" w:lastRow="0" w:firstColumn="0" w:lastColumn="0" w:noHBand="0" w:val="0000"/>
      </w:tblPr>
      <w:tblGrid>
        <w:gridCol w:w="2548"/>
        <w:gridCol w:w="3796"/>
        <w:gridCol w:w="4815"/>
        <w:gridCol w:w="3916"/>
      </w:tblGrid>
      <w:tr>
        <w:trPr>
          <w:trHeight w:val="479" w:hRule="atLeast"/>
        </w:trPr>
        <w:tc>
          <w:tcPr>
            <w:tcW w:w="254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before="100" w:after="100"/>
              <w:jc w:val="center"/>
              <w:rPr>
                <w:b/>
                <w:bCs/>
                <w:i/>
                <w:i/>
                <w:sz w:val="20"/>
                <w:szCs w:val="28"/>
                <w:highlight w:val="yellow"/>
                <w:lang w:val="uk-UA"/>
              </w:rPr>
            </w:pPr>
            <w:r>
              <w:rPr>
                <w:b/>
                <w:bCs/>
                <w:i/>
                <w:sz w:val="20"/>
                <w:szCs w:val="28"/>
                <w:highlight w:val="yellow"/>
                <w:lang w:val="uk-UA"/>
              </w:rPr>
            </w:r>
          </w:p>
        </w:tc>
        <w:tc>
          <w:tcPr>
            <w:tcW w:w="3796"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120"/>
              <w:jc w:val="center"/>
              <w:rPr>
                <w:szCs w:val="28"/>
              </w:rPr>
            </w:pPr>
            <w:r>
              <w:rPr>
                <w:b/>
                <w:szCs w:val="28"/>
                <w:lang w:val="uk-UA"/>
              </w:rPr>
              <w:t>ГЛОБУС Банк</w:t>
            </w:r>
          </w:p>
        </w:tc>
        <w:tc>
          <w:tcPr>
            <w:tcW w:w="4815" w:type="dxa"/>
            <w:tcBorders>
              <w:top w:val="single" w:sz="4" w:space="0" w:color="000000"/>
              <w:start w:val="single" w:sz="4" w:space="0" w:color="000000"/>
              <w:bottom w:val="single" w:sz="4" w:space="0" w:color="000000"/>
            </w:tcBorders>
          </w:tcPr>
          <w:p>
            <w:pPr>
              <w:pStyle w:val="Normal"/>
              <w:widowControl w:val="false"/>
              <w:spacing w:before="120" w:after="120"/>
              <w:jc w:val="center"/>
              <w:rPr>
                <w:szCs w:val="28"/>
              </w:rPr>
            </w:pPr>
            <w:r>
              <w:rPr>
                <w:b/>
                <w:szCs w:val="28"/>
                <w:lang w:val="uk-UA"/>
              </w:rPr>
              <w:t>ГЛОБУС Банк</w:t>
            </w:r>
          </w:p>
        </w:tc>
        <w:tc>
          <w:tcPr>
            <w:tcW w:w="3916"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120"/>
              <w:jc w:val="center"/>
              <w:rPr>
                <w:szCs w:val="28"/>
              </w:rPr>
            </w:pPr>
            <w:r>
              <w:rPr>
                <w:b/>
                <w:szCs w:val="28"/>
                <w:lang w:val="uk-UA"/>
              </w:rPr>
              <w:t>ГЛОБУС Банк</w:t>
            </w:r>
          </w:p>
        </w:tc>
      </w:tr>
      <w:tr>
        <w:trPr>
          <w:trHeight w:val="623" w:hRule="atLeast"/>
        </w:trPr>
        <w:tc>
          <w:tcPr>
            <w:tcW w:w="254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100" w:after="100"/>
              <w:ind w:start="-142" w:end="-158"/>
              <w:jc w:val="center"/>
              <w:rPr>
                <w:sz w:val="20"/>
                <w:szCs w:val="28"/>
                <w:highlight w:val="yellow"/>
              </w:rPr>
            </w:pPr>
            <w:r>
              <w:rPr>
                <w:b/>
                <w:bCs/>
                <w:i/>
                <w:sz w:val="20"/>
                <w:szCs w:val="28"/>
                <w:lang w:val="uk-UA"/>
              </w:rPr>
              <w:t>Банківський продукт</w:t>
            </w:r>
          </w:p>
        </w:tc>
        <w:tc>
          <w:tcPr>
            <w:tcW w:w="3796" w:type="dxa"/>
            <w:tcBorders>
              <w:top w:val="single" w:sz="4" w:space="0" w:color="000000"/>
              <w:start w:val="single" w:sz="4" w:space="0" w:color="000000"/>
              <w:bottom w:val="single" w:sz="4" w:space="0" w:color="000000"/>
              <w:end w:val="single" w:sz="4" w:space="0" w:color="000000"/>
            </w:tcBorders>
            <w:vAlign w:val="center"/>
          </w:tcPr>
          <w:p>
            <w:pPr>
              <w:pStyle w:val="12"/>
              <w:widowControl w:val="false"/>
              <w:tabs>
                <w:tab w:val="left" w:pos="0" w:leader="none"/>
                <w:tab w:val="left" w:pos="720" w:leader="none"/>
              </w:tabs>
              <w:spacing w:before="100" w:after="100"/>
              <w:ind w:hanging="0" w:start="0" w:end="96"/>
              <w:jc w:val="center"/>
              <w:rPr>
                <w:sz w:val="24"/>
                <w:szCs w:val="28"/>
                <w:lang w:val="ru-RU"/>
              </w:rPr>
            </w:pPr>
            <w:r>
              <w:rPr>
                <w:rFonts w:cs="Times New Roman" w:ascii="Times New Roman" w:hAnsi="Times New Roman"/>
                <w:b/>
                <w:bCs/>
                <w:sz w:val="24"/>
                <w:szCs w:val="28"/>
                <w:lang w:val="uk-UA"/>
              </w:rPr>
              <w:t>ПРОГРАМА ФІНАНСУВАННЯ ОСББ ТА ЖБК «СТАНДАРТ»</w:t>
            </w:r>
          </w:p>
        </w:tc>
        <w:tc>
          <w:tcPr>
            <w:tcW w:w="4815" w:type="dxa"/>
            <w:tcBorders>
              <w:top w:val="single" w:sz="4" w:space="0" w:color="000000"/>
              <w:start w:val="single" w:sz="4" w:space="0" w:color="000000"/>
              <w:bottom w:val="single" w:sz="4" w:space="0" w:color="000000"/>
            </w:tcBorders>
            <w:vAlign w:val="center"/>
          </w:tcPr>
          <w:p>
            <w:pPr>
              <w:pStyle w:val="12"/>
              <w:widowControl w:val="false"/>
              <w:tabs>
                <w:tab w:val="clear" w:pos="720"/>
                <w:tab w:val="left" w:pos="0" w:leader="none"/>
              </w:tabs>
              <w:spacing w:before="100" w:after="100"/>
              <w:ind w:hanging="18" w:start="0" w:end="96"/>
              <w:jc w:val="center"/>
              <w:rPr>
                <w:sz w:val="24"/>
                <w:szCs w:val="28"/>
                <w:lang w:val="ru-RU"/>
              </w:rPr>
            </w:pPr>
            <w:r>
              <w:rPr>
                <w:rFonts w:cs="Times New Roman" w:ascii="Times New Roman" w:hAnsi="Times New Roman"/>
                <w:b/>
                <w:bCs/>
                <w:sz w:val="24"/>
                <w:szCs w:val="28"/>
                <w:lang w:val="uk-UA"/>
              </w:rPr>
              <w:t>Програма фінансування ОСББ та ЖБК</w:t>
            </w:r>
          </w:p>
          <w:p>
            <w:pPr>
              <w:pStyle w:val="12"/>
              <w:widowControl w:val="false"/>
              <w:tabs>
                <w:tab w:val="clear" w:pos="720"/>
                <w:tab w:val="left" w:pos="0" w:leader="none"/>
              </w:tabs>
              <w:spacing w:before="100" w:after="100"/>
              <w:ind w:hanging="18" w:start="0" w:end="96"/>
              <w:jc w:val="center"/>
              <w:rPr>
                <w:sz w:val="24"/>
                <w:szCs w:val="28"/>
                <w:lang w:val="ru-RU"/>
              </w:rPr>
            </w:pPr>
            <w:r>
              <w:rPr>
                <w:rFonts w:cs="Times New Roman" w:ascii="Times New Roman" w:hAnsi="Times New Roman"/>
                <w:b/>
                <w:bCs/>
                <w:sz w:val="24"/>
                <w:szCs w:val="28"/>
                <w:lang w:val="uk-UA"/>
              </w:rPr>
              <w:t xml:space="preserve"> </w:t>
            </w:r>
            <w:r>
              <w:rPr>
                <w:rFonts w:cs="Times New Roman" w:ascii="Times New Roman" w:hAnsi="Times New Roman"/>
                <w:b/>
                <w:bCs/>
                <w:sz w:val="24"/>
                <w:szCs w:val="28"/>
                <w:lang w:val="uk-UA"/>
              </w:rPr>
              <w:t>«ВІДНОВЛЕННЯ ЕНЕРГЕТИЧНОЇ ІНФРАСТРУКТУРИ»</w:t>
            </w:r>
          </w:p>
        </w:tc>
        <w:tc>
          <w:tcPr>
            <w:tcW w:w="3916" w:type="dxa"/>
            <w:tcBorders>
              <w:top w:val="single" w:sz="4" w:space="0" w:color="000000"/>
              <w:start w:val="single" w:sz="4" w:space="0" w:color="000000"/>
              <w:bottom w:val="single" w:sz="4" w:space="0" w:color="000000"/>
              <w:end w:val="single" w:sz="4" w:space="0" w:color="000000"/>
            </w:tcBorders>
            <w:vAlign w:val="center"/>
          </w:tcPr>
          <w:p>
            <w:pPr>
              <w:pStyle w:val="12"/>
              <w:widowControl w:val="false"/>
              <w:tabs>
                <w:tab w:val="clear" w:pos="720"/>
                <w:tab w:val="left" w:pos="0" w:leader="none"/>
              </w:tabs>
              <w:spacing w:lineRule="auto" w:line="276" w:before="57" w:after="57"/>
              <w:ind w:hanging="0" w:start="0"/>
              <w:jc w:val="center"/>
              <w:rPr>
                <w:sz w:val="24"/>
                <w:szCs w:val="28"/>
                <w:lang w:val="ru-RU"/>
              </w:rPr>
            </w:pPr>
            <w:r>
              <w:rPr>
                <w:rFonts w:cs="Times New Roman" w:ascii="Times New Roman" w:hAnsi="Times New Roman"/>
                <w:b/>
                <w:bCs/>
                <w:sz w:val="24"/>
                <w:szCs w:val="28"/>
                <w:lang w:val="uk-UA"/>
              </w:rPr>
              <w:t>Підвищення енергетичної ефективності в рамках програми «ДОСТУПНІ КРЕДИТИ 5-7-9%» для ОСББ та ЖБК</w:t>
            </w:r>
          </w:p>
        </w:tc>
      </w:tr>
      <w:tr>
        <w:trPr>
          <w:trHeight w:val="623" w:hRule="atLeast"/>
        </w:trPr>
        <w:tc>
          <w:tcPr>
            <w:tcW w:w="2548" w:type="dxa"/>
            <w:tcBorders>
              <w:start w:val="single" w:sz="4" w:space="0" w:color="000000"/>
              <w:bottom w:val="single" w:sz="4" w:space="0" w:color="000000"/>
              <w:end w:val="single" w:sz="4" w:space="0" w:color="000000"/>
            </w:tcBorders>
            <w:vAlign w:val="center"/>
          </w:tcPr>
          <w:p>
            <w:pPr>
              <w:pStyle w:val="Normal"/>
              <w:widowControl w:val="false"/>
              <w:spacing w:before="57" w:after="57"/>
              <w:ind w:start="-142" w:end="-158"/>
              <w:jc w:val="center"/>
              <w:rPr>
                <w:sz w:val="20"/>
                <w:szCs w:val="28"/>
              </w:rPr>
            </w:pPr>
            <w:r>
              <w:rPr>
                <w:b/>
                <w:bCs/>
                <w:i/>
                <w:sz w:val="20"/>
                <w:szCs w:val="28"/>
                <w:lang w:val="uk-UA"/>
              </w:rPr>
              <w:t>Доступні програми</w:t>
            </w:r>
          </w:p>
        </w:tc>
        <w:tc>
          <w:tcPr>
            <w:tcW w:w="3796" w:type="dxa"/>
            <w:tcBorders>
              <w:start w:val="single" w:sz="4" w:space="0" w:color="000000"/>
              <w:bottom w:val="single" w:sz="4" w:space="0" w:color="000000"/>
              <w:end w:val="single" w:sz="4" w:space="0" w:color="000000"/>
            </w:tcBorders>
            <w:vAlign w:val="center"/>
          </w:tcPr>
          <w:p>
            <w:pPr>
              <w:pStyle w:val="Normal"/>
              <w:widowControl w:val="false"/>
              <w:spacing w:before="57" w:after="57"/>
              <w:jc w:val="center"/>
              <w:rPr>
                <w:szCs w:val="28"/>
              </w:rPr>
            </w:pPr>
            <w:r>
              <w:rPr>
                <w:b/>
                <w:bCs/>
                <w:szCs w:val="28"/>
              </w:rPr>
              <w:t>«Теплий дім»</w:t>
            </w:r>
          </w:p>
        </w:tc>
        <w:tc>
          <w:tcPr>
            <w:tcW w:w="4815" w:type="dxa"/>
            <w:tcBorders>
              <w:start w:val="single" w:sz="4" w:space="0" w:color="000000"/>
              <w:bottom w:val="single" w:sz="4" w:space="0" w:color="000000"/>
            </w:tcBorders>
            <w:vAlign w:val="center"/>
          </w:tcPr>
          <w:p>
            <w:pPr>
              <w:pStyle w:val="Normal"/>
              <w:widowControl w:val="false"/>
              <w:spacing w:before="57" w:after="57"/>
              <w:jc w:val="center"/>
              <w:rPr>
                <w:sz w:val="20"/>
                <w:szCs w:val="28"/>
              </w:rPr>
            </w:pPr>
            <w:r>
              <w:rPr>
                <w:b/>
                <w:bCs/>
                <w:szCs w:val="28"/>
              </w:rPr>
              <w:t>«Теплий дім» «Енергодім»</w:t>
            </w:r>
            <w:r>
              <w:rPr>
                <w:b/>
                <w:bCs/>
                <w:szCs w:val="28"/>
                <w:lang w:val="uk-UA"/>
              </w:rPr>
              <w:t xml:space="preserve"> та «ГрінДІМ»</w:t>
            </w:r>
          </w:p>
        </w:tc>
        <w:tc>
          <w:tcPr>
            <w:tcW w:w="3916" w:type="dxa"/>
            <w:tcBorders>
              <w:start w:val="single" w:sz="4" w:space="0" w:color="000000"/>
              <w:bottom w:val="single" w:sz="4" w:space="0" w:color="000000"/>
              <w:end w:val="single" w:sz="4" w:space="0" w:color="000000"/>
            </w:tcBorders>
            <w:vAlign w:val="center"/>
          </w:tcPr>
          <w:p>
            <w:pPr>
              <w:pStyle w:val="Normal"/>
              <w:widowControl w:val="false"/>
              <w:spacing w:before="57" w:after="57"/>
              <w:jc w:val="center"/>
              <w:rPr>
                <w:szCs w:val="28"/>
              </w:rPr>
            </w:pPr>
            <w:r>
              <w:rPr>
                <w:b/>
                <w:bCs/>
                <w:szCs w:val="28"/>
              </w:rPr>
              <w:t>«Теплий дім»</w:t>
            </w:r>
            <w:r>
              <w:rPr>
                <w:b/>
                <w:bCs/>
                <w:szCs w:val="28"/>
                <w:lang w:val="en-US"/>
              </w:rPr>
              <w:t xml:space="preserve"> </w:t>
            </w:r>
            <w:r>
              <w:rPr>
                <w:b/>
                <w:bCs/>
                <w:szCs w:val="28"/>
              </w:rPr>
              <w:t xml:space="preserve">«ГрінДІМ» </w:t>
            </w:r>
          </w:p>
        </w:tc>
      </w:tr>
      <w:tr>
        <w:trPr>
          <w:trHeight w:val="623" w:hRule="atLeast"/>
        </w:trPr>
        <w:tc>
          <w:tcPr>
            <w:tcW w:w="2548" w:type="dxa"/>
            <w:tcBorders>
              <w:start w:val="single" w:sz="4" w:space="0" w:color="000000"/>
              <w:bottom w:val="single" w:sz="4" w:space="0" w:color="000000"/>
              <w:end w:val="single" w:sz="4" w:space="0" w:color="000000"/>
            </w:tcBorders>
            <w:vAlign w:val="center"/>
          </w:tcPr>
          <w:p>
            <w:pPr>
              <w:pStyle w:val="Normal"/>
              <w:widowControl w:val="false"/>
              <w:spacing w:before="100" w:after="100"/>
              <w:ind w:start="-142" w:end="-158"/>
              <w:jc w:val="center"/>
              <w:rPr>
                <w:sz w:val="20"/>
                <w:szCs w:val="28"/>
              </w:rPr>
            </w:pPr>
            <w:r>
              <w:rPr>
                <w:b/>
                <w:bCs/>
                <w:i/>
                <w:sz w:val="20"/>
                <w:szCs w:val="28"/>
                <w:lang w:val="uk-UA"/>
              </w:rPr>
              <w:t>Контакти</w:t>
            </w:r>
          </w:p>
        </w:tc>
        <w:tc>
          <w:tcPr>
            <w:tcW w:w="12527" w:type="dxa"/>
            <w:gridSpan w:val="3"/>
            <w:tcBorders>
              <w:start w:val="single" w:sz="4" w:space="0" w:color="000000"/>
              <w:bottom w:val="single" w:sz="4" w:space="0" w:color="000000"/>
              <w:end w:val="single" w:sz="4" w:space="0" w:color="000000"/>
            </w:tcBorders>
          </w:tcPr>
          <w:p>
            <w:pPr>
              <w:pStyle w:val="12"/>
              <w:widowControl w:val="false"/>
              <w:tabs>
                <w:tab w:val="clear" w:pos="720"/>
              </w:tabs>
              <w:spacing w:before="100" w:after="100"/>
              <w:ind w:hanging="0" w:start="0"/>
              <w:jc w:val="center"/>
              <w:rPr>
                <w:rFonts w:ascii="Times New Roman" w:hAnsi="Times New Roman"/>
                <w:sz w:val="22"/>
                <w:szCs w:val="22"/>
                <w:lang w:val="ru-RU"/>
              </w:rPr>
            </w:pPr>
            <w:r>
              <w:rPr>
                <w:rFonts w:cs="Times New Roman" w:ascii="Times New Roman" w:hAnsi="Times New Roman"/>
                <w:sz w:val="22"/>
                <w:szCs w:val="22"/>
                <w:lang w:val="uk-UA"/>
              </w:rPr>
              <w:t>79000, м. Львів, вул. Мирослава Скорика, 16 (колишня вул.</w:t>
            </w:r>
            <w:r>
              <w:rPr>
                <w:rFonts w:cs="Times New Roman" w:ascii="Times New Roman" w:hAnsi="Times New Roman"/>
                <w:sz w:val="22"/>
                <w:szCs w:val="22"/>
                <w:lang w:val="ru-RU"/>
              </w:rPr>
              <w:t xml:space="preserve"> </w:t>
            </w:r>
            <w:r>
              <w:rPr>
                <w:rFonts w:cs="Times New Roman" w:ascii="Times New Roman" w:hAnsi="Times New Roman"/>
                <w:sz w:val="22"/>
                <w:szCs w:val="22"/>
                <w:lang w:val="uk-UA"/>
              </w:rPr>
              <w:t>Чайковського)</w:t>
            </w:r>
          </w:p>
          <w:p>
            <w:pPr>
              <w:pStyle w:val="12"/>
              <w:widowControl w:val="false"/>
              <w:tabs>
                <w:tab w:val="clear" w:pos="720"/>
              </w:tabs>
              <w:spacing w:before="100" w:after="100"/>
              <w:ind w:hanging="0" w:start="0"/>
              <w:jc w:val="center"/>
              <w:rPr>
                <w:rFonts w:ascii="Times New Roman" w:hAnsi="Times New Roman"/>
                <w:sz w:val="22"/>
                <w:szCs w:val="22"/>
                <w:lang w:val="ru-RU"/>
              </w:rPr>
            </w:pPr>
            <w:r>
              <w:rPr>
                <w:rFonts w:cs="Times New Roman" w:ascii="Times New Roman" w:hAnsi="Times New Roman"/>
                <w:sz w:val="22"/>
                <w:szCs w:val="22"/>
                <w:lang w:val="uk-UA"/>
              </w:rPr>
              <w:t xml:space="preserve"> </w:t>
            </w:r>
            <w:r>
              <w:rPr>
                <w:rFonts w:cs="Times New Roman" w:ascii="Times New Roman" w:hAnsi="Times New Roman"/>
                <w:sz w:val="22"/>
                <w:szCs w:val="22"/>
                <w:lang w:val="uk-UA"/>
              </w:rPr>
              <w:t>тел.: (032) 226-75-43,  (032) 226-75-44</w:t>
            </w:r>
          </w:p>
          <w:p>
            <w:pPr>
              <w:pStyle w:val="12"/>
              <w:widowControl w:val="false"/>
              <w:spacing w:lineRule="auto" w:line="240" w:before="100" w:after="100"/>
              <w:ind w:hanging="0" w:start="0"/>
              <w:jc w:val="center"/>
              <w:rPr>
                <w:rFonts w:ascii="Times New Roman" w:hAnsi="Times New Roman"/>
                <w:sz w:val="22"/>
                <w:szCs w:val="22"/>
                <w:lang w:val="ru-RU"/>
              </w:rPr>
            </w:pPr>
            <w:r>
              <w:rPr>
                <w:rFonts w:cs="Times New Roman" w:ascii="Times New Roman" w:hAnsi="Times New Roman"/>
                <w:sz w:val="22"/>
                <w:szCs w:val="22"/>
                <w:lang w:val="uk-UA"/>
              </w:rPr>
              <w:t>Попаєвич Наталія Михайлівна</w:t>
            </w:r>
          </w:p>
          <w:p>
            <w:pPr>
              <w:pStyle w:val="12"/>
              <w:widowControl w:val="false"/>
              <w:spacing w:lineRule="auto" w:line="240" w:before="100" w:after="100"/>
              <w:ind w:hanging="0" w:start="0"/>
              <w:jc w:val="center"/>
              <w:rPr>
                <w:lang w:val="ru-RU"/>
              </w:rPr>
            </w:pPr>
            <w:r>
              <w:rPr>
                <w:rFonts w:cs="Times New Roman" w:ascii="Times New Roman" w:hAnsi="Times New Roman"/>
                <w:sz w:val="22"/>
                <w:szCs w:val="22"/>
                <w:lang w:val="uk-UA"/>
              </w:rPr>
              <w:t xml:space="preserve">моб.: 068-468-86-84,      </w:t>
            </w:r>
            <w:r>
              <w:rPr>
                <w:rFonts w:cs="Times New Roman" w:ascii="Times New Roman" w:hAnsi="Times New Roman"/>
                <w:color w:val="0000FF"/>
                <w:sz w:val="22"/>
                <w:szCs w:val="22"/>
                <w:lang w:val="uk-UA"/>
              </w:rPr>
              <w:t xml:space="preserve"> </w:t>
            </w:r>
            <w:r>
              <w:rPr>
                <w:rStyle w:val="Hyperlink"/>
                <w:rFonts w:cs="Times New Roman" w:ascii="Times New Roman" w:hAnsi="Times New Roman"/>
                <w:sz w:val="22"/>
                <w:szCs w:val="22"/>
                <w:lang w:val="uk-UA"/>
              </w:rPr>
              <w:t>npopaievych@globusbank.com.ua</w:t>
            </w:r>
          </w:p>
          <w:p>
            <w:pPr>
              <w:pStyle w:val="12"/>
              <w:widowControl w:val="false"/>
              <w:spacing w:lineRule="auto" w:line="240" w:before="100" w:after="100"/>
              <w:ind w:hanging="0" w:start="0"/>
              <w:jc w:val="center"/>
              <w:rPr>
                <w:rStyle w:val="Hyperlink"/>
                <w:rFonts w:ascii="Times New Roman" w:hAnsi="Times New Roman" w:cs="Times New Roman"/>
                <w:sz w:val="22"/>
                <w:szCs w:val="22"/>
                <w:lang w:val="uk-UA"/>
              </w:rPr>
            </w:pPr>
            <w:r>
              <w:rPr>
                <w:rFonts w:cs="Times New Roman" w:ascii="Times New Roman" w:hAnsi="Times New Roman"/>
                <w:sz w:val="22"/>
                <w:szCs w:val="22"/>
                <w:lang w:val="uk-UA"/>
              </w:rPr>
            </w:r>
          </w:p>
          <w:p>
            <w:pPr>
              <w:pStyle w:val="12"/>
              <w:spacing w:lineRule="auto" w:line="240" w:before="100" w:after="100"/>
              <w:ind w:hanging="0" w:start="0"/>
              <w:jc w:val="center"/>
              <w:rPr>
                <w:rFonts w:ascii="Times New Roman" w:hAnsi="Times New Roman"/>
                <w:sz w:val="22"/>
                <w:szCs w:val="22"/>
                <w:lang w:val="ru-RU"/>
              </w:rPr>
            </w:pPr>
            <w:r>
              <w:rPr>
                <w:rFonts w:cs="Times New Roman" w:ascii="Times New Roman" w:hAnsi="Times New Roman"/>
                <w:sz w:val="22"/>
                <w:szCs w:val="22"/>
                <w:lang w:val="uk-UA"/>
              </w:rPr>
              <w:t>7900</w:t>
            </w:r>
            <w:r>
              <w:rPr>
                <w:rFonts w:cs="Times New Roman" w:ascii="Times New Roman" w:hAnsi="Times New Roman"/>
                <w:sz w:val="22"/>
                <w:szCs w:val="22"/>
                <w:lang w:val="ru-RU"/>
              </w:rPr>
              <w:t>4</w:t>
            </w:r>
            <w:r>
              <w:rPr>
                <w:rFonts w:cs="Times New Roman" w:ascii="Times New Roman" w:hAnsi="Times New Roman"/>
                <w:sz w:val="22"/>
                <w:szCs w:val="22"/>
                <w:lang w:val="uk-UA"/>
              </w:rPr>
              <w:t>, м. Львів, вул.</w:t>
            </w:r>
            <w:r>
              <w:rPr>
                <w:rFonts w:cs="Times New Roman" w:ascii="Times New Roman" w:hAnsi="Times New Roman"/>
                <w:sz w:val="22"/>
                <w:szCs w:val="22"/>
                <w:lang w:val="ru-RU"/>
              </w:rPr>
              <w:t xml:space="preserve"> </w:t>
            </w:r>
            <w:r>
              <w:rPr>
                <w:rFonts w:cs="Times New Roman" w:ascii="Times New Roman" w:hAnsi="Times New Roman"/>
                <w:sz w:val="22"/>
                <w:szCs w:val="22"/>
                <w:lang w:val="uk-UA"/>
              </w:rPr>
              <w:t>Стрийська 144а,    тел.: (032) 226 76 35</w:t>
            </w:r>
          </w:p>
          <w:p>
            <w:pPr>
              <w:pStyle w:val="12"/>
              <w:spacing w:lineRule="auto" w:line="240" w:before="100" w:after="100"/>
              <w:ind w:hanging="0" w:start="0"/>
              <w:jc w:val="center"/>
              <w:rPr>
                <w:rFonts w:ascii="Times New Roman" w:hAnsi="Times New Roman"/>
                <w:sz w:val="22"/>
                <w:szCs w:val="22"/>
                <w:lang w:val="ru-RU"/>
              </w:rPr>
            </w:pPr>
            <w:r>
              <w:rPr>
                <w:rFonts w:cs="Times New Roman" w:ascii="Times New Roman" w:hAnsi="Times New Roman"/>
                <w:sz w:val="22"/>
                <w:szCs w:val="22"/>
                <w:lang w:val="uk-UA"/>
              </w:rPr>
              <w:t>Де Смет Оксана Василівна</w:t>
            </w:r>
          </w:p>
          <w:p>
            <w:pPr>
              <w:pStyle w:val="12"/>
              <w:widowControl w:val="false"/>
              <w:spacing w:lineRule="auto" w:line="240" w:before="100" w:after="100"/>
              <w:ind w:hanging="0" w:start="0"/>
              <w:jc w:val="center"/>
              <w:rPr>
                <w:rFonts w:ascii="Times New Roman" w:hAnsi="Times New Roman"/>
                <w:sz w:val="22"/>
                <w:szCs w:val="22"/>
                <w:lang w:val="ru-RU"/>
              </w:rPr>
            </w:pPr>
            <w:r>
              <w:rPr>
                <w:rFonts w:ascii="Times New Roman" w:hAnsi="Times New Roman"/>
                <w:sz w:val="22"/>
                <w:szCs w:val="22"/>
                <w:lang w:val="uk-UA"/>
              </w:rPr>
              <w:t xml:space="preserve">моб.: 096-544-78-71,     </w:t>
            </w:r>
            <w:r>
              <w:rPr>
                <w:rFonts w:ascii="Times New Roman" w:hAnsi="Times New Roman"/>
                <w:color w:val="0000FF"/>
                <w:sz w:val="22"/>
                <w:szCs w:val="22"/>
                <w:lang w:val="uk-UA"/>
              </w:rPr>
              <w:t>ODeSmet@globusbank.com.ua</w:t>
            </w:r>
          </w:p>
        </w:tc>
      </w:tr>
      <w:tr>
        <w:trPr>
          <w:trHeight w:val="297" w:hRule="atLeast"/>
        </w:trPr>
        <w:tc>
          <w:tcPr>
            <w:tcW w:w="254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113" w:after="113"/>
              <w:jc w:val="center"/>
              <w:rPr>
                <w:sz w:val="20"/>
              </w:rPr>
            </w:pPr>
            <w:r>
              <w:rPr>
                <w:b/>
                <w:bCs/>
                <w:i/>
                <w:sz w:val="20"/>
                <w:lang w:val="uk-UA"/>
              </w:rPr>
              <w:t>Сума кредиту</w:t>
            </w:r>
          </w:p>
        </w:tc>
        <w:tc>
          <w:tcPr>
            <w:tcW w:w="379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113" w:after="113"/>
              <w:jc w:val="center"/>
              <w:rPr>
                <w:highlight w:val="none"/>
                <w:shd w:fill="auto" w:val="clear"/>
              </w:rPr>
            </w:pPr>
            <w:r>
              <w:rPr>
                <w:sz w:val="20"/>
                <w:shd w:fill="auto" w:val="clear"/>
                <w:lang w:val="uk-UA" w:eastAsia="ar-SA"/>
              </w:rPr>
              <w:t>Максимальна – 3 млн. грн.</w:t>
            </w:r>
          </w:p>
        </w:tc>
        <w:tc>
          <w:tcPr>
            <w:tcW w:w="4815" w:type="dxa"/>
            <w:tcBorders>
              <w:top w:val="single" w:sz="4" w:space="0" w:color="000000"/>
              <w:start w:val="single" w:sz="4" w:space="0" w:color="000000"/>
              <w:bottom w:val="single" w:sz="4" w:space="0" w:color="000000"/>
            </w:tcBorders>
            <w:vAlign w:val="center"/>
          </w:tcPr>
          <w:p>
            <w:pPr>
              <w:pStyle w:val="Normal"/>
              <w:widowControl w:val="false"/>
              <w:spacing w:before="113" w:after="113"/>
              <w:jc w:val="center"/>
              <w:rPr>
                <w:highlight w:val="none"/>
                <w:shd w:fill="auto" w:val="clear"/>
              </w:rPr>
            </w:pPr>
            <w:r>
              <w:rPr>
                <w:sz w:val="20"/>
                <w:shd w:fill="auto" w:val="clear"/>
                <w:lang w:val="uk-UA" w:eastAsia="ar-SA"/>
              </w:rPr>
              <w:t>Максимальна – 3 млн. грн.</w:t>
            </w:r>
          </w:p>
        </w:tc>
        <w:tc>
          <w:tcPr>
            <w:tcW w:w="391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113" w:after="113"/>
              <w:jc w:val="center"/>
              <w:rPr>
                <w:sz w:val="20"/>
              </w:rPr>
            </w:pPr>
            <w:r>
              <w:rPr>
                <w:sz w:val="20"/>
                <w:lang w:val="uk-UA" w:eastAsia="ar-SA"/>
              </w:rPr>
              <w:t>Максимальна – 5 млн. грн.</w:t>
            </w:r>
          </w:p>
        </w:tc>
      </w:tr>
      <w:tr>
        <w:trPr>
          <w:trHeight w:val="600" w:hRule="atLeast"/>
        </w:trPr>
        <w:tc>
          <w:tcPr>
            <w:tcW w:w="254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100" w:after="100"/>
              <w:jc w:val="center"/>
              <w:rPr>
                <w:sz w:val="20"/>
                <w:highlight w:val="yellow"/>
              </w:rPr>
            </w:pPr>
            <w:r>
              <w:rPr>
                <w:b/>
                <w:bCs/>
                <w:i/>
                <w:sz w:val="20"/>
                <w:lang w:val="uk-UA"/>
              </w:rPr>
              <w:t>Процентна ставка</w:t>
            </w:r>
          </w:p>
        </w:tc>
        <w:tc>
          <w:tcPr>
            <w:tcW w:w="3796" w:type="dxa"/>
            <w:tcBorders>
              <w:top w:val="single" w:sz="4" w:space="0" w:color="000000"/>
              <w:start w:val="single" w:sz="4" w:space="0" w:color="000000"/>
              <w:bottom w:val="single" w:sz="4" w:space="0" w:color="000000"/>
              <w:end w:val="single" w:sz="4" w:space="0" w:color="000000"/>
            </w:tcBorders>
            <w:vAlign w:val="center"/>
          </w:tcPr>
          <w:p>
            <w:pPr>
              <w:pStyle w:val="PartyName"/>
              <w:widowControl w:val="false"/>
              <w:spacing w:before="113" w:after="0"/>
              <w:ind w:start="44"/>
              <w:rPr>
                <w:sz w:val="20"/>
                <w:szCs w:val="24"/>
                <w:highlight w:val="yellow"/>
              </w:rPr>
            </w:pPr>
            <w:r>
              <w:rPr>
                <w:rFonts w:ascii="Times New Roman" w:hAnsi="Times New Roman"/>
                <w:bCs w:val="false"/>
                <w:caps w:val="false"/>
                <w:smallCaps w:val="false"/>
                <w:sz w:val="20"/>
                <w:szCs w:val="24"/>
              </w:rPr>
              <w:t>19%</w:t>
            </w:r>
          </w:p>
        </w:tc>
        <w:tc>
          <w:tcPr>
            <w:tcW w:w="4815" w:type="dxa"/>
            <w:tcBorders>
              <w:top w:val="single" w:sz="4" w:space="0" w:color="000000"/>
              <w:start w:val="single" w:sz="4" w:space="0" w:color="000000"/>
              <w:bottom w:val="single" w:sz="4" w:space="0" w:color="000000"/>
            </w:tcBorders>
            <w:vAlign w:val="center"/>
          </w:tcPr>
          <w:p>
            <w:pPr>
              <w:pStyle w:val="PartyName"/>
              <w:widowControl w:val="false"/>
              <w:spacing w:before="113" w:after="0"/>
              <w:ind w:start="44"/>
              <w:rPr>
                <w:sz w:val="18"/>
                <w:szCs w:val="24"/>
              </w:rPr>
            </w:pPr>
            <w:r>
              <w:rPr>
                <w:rFonts w:ascii="Times New Roman" w:hAnsi="Times New Roman"/>
                <w:bCs w:val="false"/>
                <w:caps w:val="false"/>
                <w:smallCaps w:val="false"/>
                <w:sz w:val="20"/>
                <w:szCs w:val="24"/>
                <w:lang w:val="ru-RU"/>
              </w:rPr>
              <w:t>17</w:t>
            </w:r>
            <w:r>
              <w:rPr>
                <w:rFonts w:ascii="Times New Roman" w:hAnsi="Times New Roman"/>
                <w:bCs w:val="false"/>
                <w:caps w:val="false"/>
                <w:smallCaps w:val="false"/>
                <w:sz w:val="20"/>
                <w:szCs w:val="24"/>
              </w:rPr>
              <w:t>% річних</w:t>
            </w:r>
            <w:r>
              <w:rPr>
                <w:rFonts w:ascii="Times New Roman" w:hAnsi="Times New Roman"/>
                <w:b w:val="false"/>
                <w:caps w:val="false"/>
                <w:smallCaps w:val="false"/>
                <w:sz w:val="20"/>
                <w:szCs w:val="24"/>
              </w:rPr>
              <w:t xml:space="preserve"> - в перший рік кредитування та</w:t>
            </w:r>
          </w:p>
          <w:p>
            <w:pPr>
              <w:pStyle w:val="Normal"/>
              <w:widowControl w:val="false"/>
              <w:spacing w:before="120" w:after="120"/>
              <w:jc w:val="center"/>
              <w:rPr>
                <w:sz w:val="20"/>
                <w:highlight w:val="yellow"/>
              </w:rPr>
            </w:pPr>
            <w:r>
              <w:rPr>
                <w:b/>
                <w:bCs/>
                <w:sz w:val="20"/>
                <w:lang w:val="en-US"/>
              </w:rPr>
              <w:t>UIRD</w:t>
            </w:r>
            <w:r>
              <w:rPr>
                <w:b/>
                <w:bCs/>
                <w:sz w:val="20"/>
              </w:rPr>
              <w:t xml:space="preserve"> (12 міс.) + </w:t>
            </w:r>
            <w:r>
              <w:rPr>
                <w:b/>
                <w:bCs/>
                <w:sz w:val="20"/>
                <w:lang w:val="uk-UA"/>
              </w:rPr>
              <w:t>7</w:t>
            </w:r>
            <w:r>
              <w:rPr>
                <w:b/>
                <w:bCs/>
                <w:sz w:val="20"/>
              </w:rPr>
              <w:t>% річних</w:t>
            </w:r>
            <w:r>
              <w:rPr>
                <w:sz w:val="20"/>
              </w:rPr>
              <w:t xml:space="preserve"> - починаючи з другого року кредитування</w:t>
            </w:r>
          </w:p>
        </w:tc>
        <w:tc>
          <w:tcPr>
            <w:tcW w:w="3916" w:type="dxa"/>
            <w:tcBorders>
              <w:top w:val="single" w:sz="4" w:space="0" w:color="000000"/>
              <w:start w:val="single" w:sz="4" w:space="0" w:color="000000"/>
              <w:bottom w:val="single" w:sz="4" w:space="0" w:color="000000"/>
              <w:end w:val="single" w:sz="4" w:space="0" w:color="000000"/>
            </w:tcBorders>
            <w:vAlign w:val="center"/>
          </w:tcPr>
          <w:p>
            <w:pPr>
              <w:pStyle w:val="PartyName"/>
              <w:widowControl w:val="false"/>
              <w:spacing w:before="113" w:after="0"/>
              <w:ind w:start="44"/>
              <w:rPr>
                <w:sz w:val="18"/>
                <w:szCs w:val="24"/>
              </w:rPr>
            </w:pPr>
            <w:r>
              <w:rPr>
                <w:rFonts w:ascii="Times New Roman" w:hAnsi="Times New Roman"/>
                <w:bCs w:val="false"/>
                <w:caps w:val="false"/>
                <w:smallCaps w:val="false"/>
                <w:sz w:val="20"/>
                <w:szCs w:val="24"/>
              </w:rPr>
              <w:t>7% річних</w:t>
            </w:r>
            <w:r>
              <w:rPr>
                <w:rFonts w:ascii="Times New Roman" w:hAnsi="Times New Roman"/>
                <w:b w:val="false"/>
                <w:caps w:val="false"/>
                <w:smallCaps w:val="false"/>
                <w:sz w:val="20"/>
                <w:szCs w:val="24"/>
              </w:rPr>
              <w:t xml:space="preserve"> - в перший рік кредитування та</w:t>
            </w:r>
          </w:p>
          <w:p>
            <w:pPr>
              <w:pStyle w:val="Normal"/>
              <w:widowControl w:val="false"/>
              <w:tabs>
                <w:tab w:val="clear" w:pos="720"/>
                <w:tab w:val="left" w:pos="120" w:leader="none"/>
              </w:tabs>
              <w:spacing w:before="0" w:after="119"/>
              <w:ind w:hanging="57" w:start="170"/>
              <w:jc w:val="center"/>
              <w:rPr>
                <w:sz w:val="20"/>
              </w:rPr>
            </w:pPr>
            <w:r>
              <w:rPr>
                <w:b/>
                <w:bCs/>
                <w:sz w:val="20"/>
                <w:lang w:val="en-US"/>
              </w:rPr>
              <w:t>UIRD</w:t>
            </w:r>
            <w:r>
              <w:rPr>
                <w:b/>
                <w:bCs/>
                <w:sz w:val="20"/>
              </w:rPr>
              <w:t xml:space="preserve"> (</w:t>
            </w:r>
            <w:r>
              <w:rPr>
                <w:b/>
                <w:bCs/>
                <w:sz w:val="20"/>
                <w:lang w:val="uk-UA"/>
              </w:rPr>
              <w:t>3</w:t>
            </w:r>
            <w:r>
              <w:rPr>
                <w:b/>
                <w:bCs/>
                <w:sz w:val="20"/>
              </w:rPr>
              <w:t xml:space="preserve"> міс.) + </w:t>
            </w:r>
            <w:r>
              <w:rPr>
                <w:b/>
                <w:bCs/>
                <w:sz w:val="20"/>
                <w:lang w:val="uk-UA"/>
              </w:rPr>
              <w:t>7</w:t>
            </w:r>
            <w:r>
              <w:rPr>
                <w:b/>
                <w:bCs/>
                <w:sz w:val="20"/>
              </w:rPr>
              <w:t>% річних</w:t>
            </w:r>
            <w:r>
              <w:rPr>
                <w:sz w:val="20"/>
              </w:rPr>
              <w:t xml:space="preserve"> - починаючи з другого року кредитування</w:t>
            </w:r>
          </w:p>
        </w:tc>
      </w:tr>
      <w:tr>
        <w:trPr>
          <w:trHeight w:val="125" w:hRule="atLeast"/>
        </w:trPr>
        <w:tc>
          <w:tcPr>
            <w:tcW w:w="254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100" w:after="100"/>
              <w:jc w:val="center"/>
              <w:rPr>
                <w:sz w:val="20"/>
                <w:highlight w:val="yellow"/>
              </w:rPr>
            </w:pPr>
            <w:r>
              <w:rPr>
                <w:b/>
                <w:bCs/>
                <w:i/>
                <w:sz w:val="20"/>
                <w:lang w:val="uk-UA"/>
              </w:rPr>
              <w:t>Комісії</w:t>
            </w:r>
          </w:p>
        </w:tc>
        <w:tc>
          <w:tcPr>
            <w:tcW w:w="3796" w:type="dxa"/>
            <w:tcBorders>
              <w:top w:val="single" w:sz="4" w:space="0" w:color="000000"/>
              <w:start w:val="single" w:sz="4" w:space="0" w:color="000000"/>
              <w:bottom w:val="single" w:sz="4" w:space="0" w:color="000000"/>
              <w:end w:val="single" w:sz="4" w:space="0" w:color="000000"/>
            </w:tcBorders>
            <w:vAlign w:val="center"/>
          </w:tcPr>
          <w:p>
            <w:pPr>
              <w:pStyle w:val="ListParagraph"/>
              <w:widowControl w:val="false"/>
              <w:ind w:start="0" w:end="34"/>
              <w:jc w:val="center"/>
              <w:rPr>
                <w:highlight w:val="none"/>
                <w:shd w:fill="auto" w:val="clear"/>
              </w:rPr>
            </w:pPr>
            <w:r>
              <w:rPr>
                <w:sz w:val="20"/>
                <w:shd w:fill="auto" w:val="clear"/>
              </w:rPr>
              <w:t>За надання кредитних коштів:</w:t>
            </w:r>
          </w:p>
          <w:p>
            <w:pPr>
              <w:pStyle w:val="ListParagraph"/>
              <w:widowControl w:val="false"/>
              <w:ind w:start="0" w:end="34"/>
              <w:jc w:val="center"/>
              <w:rPr>
                <w:highlight w:val="none"/>
                <w:shd w:fill="auto" w:val="clear"/>
              </w:rPr>
            </w:pPr>
            <w:r>
              <w:rPr>
                <w:b/>
                <w:bCs/>
                <w:sz w:val="20"/>
                <w:shd w:fill="auto" w:val="clear"/>
                <w:lang w:val="ru-RU"/>
              </w:rPr>
              <w:t>1</w:t>
            </w:r>
            <w:r>
              <w:rPr>
                <w:b/>
                <w:bCs/>
                <w:sz w:val="20"/>
                <w:shd w:fill="auto" w:val="clear"/>
              </w:rPr>
              <w:t>,9%</w:t>
            </w:r>
            <w:r>
              <w:rPr>
                <w:sz w:val="20"/>
                <w:shd w:fill="auto" w:val="clear"/>
              </w:rPr>
              <w:t xml:space="preserve"> – від суми кредиту / встановленого ліміту, одноразово;</w:t>
            </w:r>
          </w:p>
        </w:tc>
        <w:tc>
          <w:tcPr>
            <w:tcW w:w="4815" w:type="dxa"/>
            <w:tcBorders>
              <w:top w:val="single" w:sz="4" w:space="0" w:color="000000"/>
              <w:start w:val="single" w:sz="4" w:space="0" w:color="000000"/>
              <w:bottom w:val="single" w:sz="4" w:space="0" w:color="000000"/>
            </w:tcBorders>
            <w:vAlign w:val="center"/>
          </w:tcPr>
          <w:p>
            <w:pPr>
              <w:pStyle w:val="ListParagraph"/>
              <w:widowControl w:val="false"/>
              <w:ind w:start="0" w:end="-79"/>
              <w:jc w:val="center"/>
              <w:rPr>
                <w:highlight w:val="none"/>
                <w:shd w:fill="auto" w:val="clear"/>
              </w:rPr>
            </w:pPr>
            <w:r>
              <w:rPr>
                <w:color w:val="000000"/>
                <w:sz w:val="20"/>
                <w:shd w:fill="auto" w:val="clear"/>
              </w:rPr>
              <w:t>За надання кредитних коштів:</w:t>
            </w:r>
          </w:p>
          <w:p>
            <w:pPr>
              <w:pStyle w:val="Normal"/>
              <w:widowControl w:val="false"/>
              <w:ind w:end="-79"/>
              <w:jc w:val="center"/>
              <w:rPr>
                <w:highlight w:val="none"/>
                <w:shd w:fill="auto" w:val="clear"/>
              </w:rPr>
            </w:pPr>
            <w:r>
              <w:rPr>
                <w:b/>
                <w:color w:val="000000"/>
                <w:kern w:val="2"/>
                <w:sz w:val="20"/>
                <w:shd w:fill="auto" w:val="clear"/>
                <w:lang w:val="uk-UA"/>
              </w:rPr>
              <w:t xml:space="preserve">1,9% </w:t>
            </w:r>
            <w:r>
              <w:rPr>
                <w:b/>
                <w:sz w:val="20"/>
                <w:shd w:fill="auto" w:val="clear"/>
              </w:rPr>
              <w:t>–</w:t>
            </w:r>
            <w:r>
              <w:rPr>
                <w:b/>
                <w:color w:val="000000"/>
                <w:kern w:val="2"/>
                <w:sz w:val="20"/>
                <w:shd w:fill="auto" w:val="clear"/>
                <w:lang w:val="uk-UA"/>
              </w:rPr>
              <w:t xml:space="preserve"> </w:t>
            </w:r>
            <w:r>
              <w:rPr>
                <w:color w:val="000000"/>
                <w:kern w:val="2"/>
                <w:sz w:val="20"/>
                <w:shd w:fill="auto" w:val="clear"/>
                <w:lang w:val="uk-UA"/>
              </w:rPr>
              <w:t xml:space="preserve">від суми кредиту / встановленого ліміту, </w:t>
            </w:r>
            <w:r>
              <w:rPr>
                <w:bCs/>
                <w:color w:val="000000"/>
                <w:sz w:val="20"/>
                <w:shd w:fill="auto" w:val="clear"/>
                <w:lang w:val="uk-UA"/>
              </w:rPr>
              <w:t>одноразово.</w:t>
            </w:r>
          </w:p>
        </w:tc>
        <w:tc>
          <w:tcPr>
            <w:tcW w:w="391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57" w:after="57"/>
              <w:ind w:end="-79"/>
              <w:jc w:val="center"/>
              <w:rPr>
                <w:sz w:val="20"/>
              </w:rPr>
            </w:pPr>
            <w:r>
              <w:rPr>
                <w:b/>
                <w:bCs/>
                <w:color w:val="000000"/>
                <w:sz w:val="20"/>
                <w:lang w:val="uk-UA"/>
              </w:rPr>
              <w:t xml:space="preserve">Одноразова комісія 1,5% від суми кредиту </w:t>
            </w:r>
          </w:p>
          <w:p>
            <w:pPr>
              <w:pStyle w:val="Normal"/>
              <w:widowControl w:val="false"/>
              <w:spacing w:before="0" w:after="57"/>
              <w:ind w:start="57" w:end="170"/>
              <w:jc w:val="center"/>
              <w:rPr>
                <w:sz w:val="20"/>
              </w:rPr>
            </w:pPr>
            <w:r>
              <w:rPr>
                <w:color w:val="000000"/>
                <w:sz w:val="20"/>
                <w:lang w:val="uk-UA"/>
              </w:rPr>
              <w:t>(за надання – 0,75%;</w:t>
              <w:br/>
              <w:t>за управління кредитом – 0,75% від суми кредиту)</w:t>
            </w:r>
          </w:p>
        </w:tc>
      </w:tr>
      <w:tr>
        <w:trPr>
          <w:trHeight w:val="264" w:hRule="atLeast"/>
        </w:trPr>
        <w:tc>
          <w:tcPr>
            <w:tcW w:w="254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100" w:after="100"/>
              <w:jc w:val="center"/>
              <w:rPr>
                <w:sz w:val="20"/>
              </w:rPr>
            </w:pPr>
            <w:r>
              <w:rPr>
                <w:b/>
                <w:bCs/>
                <w:i/>
                <w:sz w:val="20"/>
                <w:lang w:val="uk-UA"/>
              </w:rPr>
              <w:t>Термін кредитування</w:t>
            </w:r>
          </w:p>
        </w:tc>
        <w:tc>
          <w:tcPr>
            <w:tcW w:w="12527" w:type="dxa"/>
            <w:gridSpan w:val="3"/>
            <w:tcBorders>
              <w:top w:val="single" w:sz="4" w:space="0" w:color="000000"/>
              <w:start w:val="single" w:sz="4" w:space="0" w:color="000000"/>
              <w:bottom w:val="single" w:sz="4" w:space="0" w:color="000000"/>
              <w:end w:val="single" w:sz="4" w:space="0" w:color="000000"/>
            </w:tcBorders>
          </w:tcPr>
          <w:p>
            <w:pPr>
              <w:pStyle w:val="Normal"/>
              <w:widowControl w:val="false"/>
              <w:spacing w:before="100" w:after="100"/>
              <w:jc w:val="center"/>
              <w:rPr>
                <w:sz w:val="20"/>
              </w:rPr>
            </w:pPr>
            <w:r>
              <w:rPr>
                <w:sz w:val="20"/>
                <w:lang w:val="uk-UA" w:eastAsia="ar-SA"/>
              </w:rPr>
              <w:t xml:space="preserve">До </w:t>
            </w:r>
            <w:r>
              <w:rPr>
                <w:sz w:val="20"/>
                <w:lang w:val="en-US" w:eastAsia="ar-SA"/>
              </w:rPr>
              <w:t>5</w:t>
            </w:r>
            <w:r>
              <w:rPr>
                <w:sz w:val="20"/>
                <w:lang w:val="uk-UA" w:eastAsia="ar-SA"/>
              </w:rPr>
              <w:t xml:space="preserve"> років</w:t>
            </w:r>
          </w:p>
        </w:tc>
      </w:tr>
      <w:tr>
        <w:trPr>
          <w:trHeight w:val="267" w:hRule="atLeast"/>
        </w:trPr>
        <w:tc>
          <w:tcPr>
            <w:tcW w:w="254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100" w:after="100"/>
              <w:jc w:val="center"/>
              <w:rPr>
                <w:sz w:val="20"/>
              </w:rPr>
            </w:pPr>
            <w:r>
              <w:rPr>
                <w:b/>
                <w:bCs/>
                <w:i/>
                <w:sz w:val="20"/>
                <w:lang w:val="uk-UA"/>
              </w:rPr>
              <w:t>Забезпечення кредиту</w:t>
            </w:r>
          </w:p>
        </w:tc>
        <w:tc>
          <w:tcPr>
            <w:tcW w:w="12527" w:type="dxa"/>
            <w:gridSpan w:val="3"/>
            <w:tcBorders>
              <w:top w:val="single" w:sz="4" w:space="0" w:color="000000"/>
              <w:start w:val="single" w:sz="4" w:space="0" w:color="000000"/>
              <w:bottom w:val="single" w:sz="4" w:space="0" w:color="000000"/>
              <w:end w:val="single" w:sz="4" w:space="0" w:color="000000"/>
            </w:tcBorders>
          </w:tcPr>
          <w:p>
            <w:pPr>
              <w:pStyle w:val="Normal"/>
              <w:widowControl w:val="false"/>
              <w:spacing w:before="100" w:after="100"/>
              <w:jc w:val="center"/>
              <w:rPr>
                <w:sz w:val="20"/>
              </w:rPr>
            </w:pPr>
            <w:r>
              <w:rPr>
                <w:sz w:val="20"/>
                <w:lang w:val="uk-UA"/>
              </w:rPr>
              <w:t>Відсутнє</w:t>
            </w:r>
          </w:p>
        </w:tc>
      </w:tr>
      <w:tr>
        <w:trPr>
          <w:trHeight w:val="267" w:hRule="atLeast"/>
        </w:trPr>
        <w:tc>
          <w:tcPr>
            <w:tcW w:w="254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57" w:after="57"/>
              <w:jc w:val="center"/>
              <w:rPr>
                <w:sz w:val="20"/>
              </w:rPr>
            </w:pPr>
            <w:r>
              <w:rPr>
                <w:b/>
                <w:bCs/>
                <w:i/>
                <w:sz w:val="20"/>
                <w:lang w:val="uk-UA"/>
              </w:rPr>
              <w:t xml:space="preserve">Початковий </w:t>
              <w:br/>
              <w:t>(авансовий) внесок</w:t>
            </w:r>
          </w:p>
        </w:tc>
        <w:tc>
          <w:tcPr>
            <w:tcW w:w="12527" w:type="dxa"/>
            <w:gridSpan w:val="3"/>
            <w:tcBorders>
              <w:top w:val="single" w:sz="4" w:space="0" w:color="000000"/>
              <w:start w:val="single" w:sz="4" w:space="0" w:color="000000"/>
              <w:bottom w:val="single" w:sz="4" w:space="0" w:color="000000"/>
              <w:end w:val="single" w:sz="4" w:space="0" w:color="000000"/>
            </w:tcBorders>
            <w:shd w:color="auto" w:fill="FFFFFF" w:themeFill="background1" w:val="clear"/>
            <w:vAlign w:val="center"/>
          </w:tcPr>
          <w:p>
            <w:pPr>
              <w:pStyle w:val="Normal"/>
              <w:widowControl w:val="false"/>
              <w:spacing w:before="57" w:after="57"/>
              <w:jc w:val="center"/>
              <w:rPr>
                <w:sz w:val="20"/>
              </w:rPr>
            </w:pPr>
            <w:r>
              <w:rPr>
                <w:sz w:val="20"/>
                <w:lang w:val="uk-UA"/>
              </w:rPr>
              <w:t>Відсутній</w:t>
            </w:r>
          </w:p>
        </w:tc>
      </w:tr>
      <w:tr>
        <w:trPr>
          <w:trHeight w:val="130" w:hRule="atLeast"/>
        </w:trPr>
        <w:tc>
          <w:tcPr>
            <w:tcW w:w="254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100" w:after="100"/>
              <w:jc w:val="center"/>
              <w:rPr>
                <w:sz w:val="20"/>
              </w:rPr>
            </w:pPr>
            <w:r>
              <w:rPr>
                <w:b/>
                <w:bCs/>
                <w:i/>
                <w:sz w:val="20"/>
                <w:lang w:val="uk-UA"/>
              </w:rPr>
              <w:t>Страхування</w:t>
            </w:r>
          </w:p>
        </w:tc>
        <w:tc>
          <w:tcPr>
            <w:tcW w:w="12527" w:type="dxa"/>
            <w:gridSpan w:val="3"/>
            <w:tcBorders>
              <w:top w:val="single" w:sz="4" w:space="0" w:color="000000"/>
              <w:start w:val="single" w:sz="4" w:space="0" w:color="000000"/>
              <w:bottom w:val="single" w:sz="4" w:space="0" w:color="000000"/>
              <w:end w:val="single" w:sz="4" w:space="0" w:color="000000"/>
            </w:tcBorders>
          </w:tcPr>
          <w:p>
            <w:pPr>
              <w:pStyle w:val="Normal"/>
              <w:widowControl w:val="false"/>
              <w:spacing w:before="100" w:after="100"/>
              <w:jc w:val="center"/>
              <w:rPr>
                <w:sz w:val="20"/>
              </w:rPr>
            </w:pPr>
            <w:r>
              <w:rPr>
                <w:sz w:val="20"/>
                <w:lang w:val="uk-UA"/>
              </w:rPr>
              <w:t>Відсутній</w:t>
            </w:r>
          </w:p>
        </w:tc>
      </w:tr>
      <w:tr>
        <w:trPr>
          <w:trHeight w:val="261" w:hRule="atLeast"/>
        </w:trPr>
        <w:tc>
          <w:tcPr>
            <w:tcW w:w="254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100" w:after="100"/>
              <w:jc w:val="center"/>
              <w:rPr>
                <w:sz w:val="20"/>
              </w:rPr>
            </w:pPr>
            <w:r>
              <w:rPr>
                <w:b/>
                <w:bCs/>
                <w:i/>
                <w:sz w:val="20"/>
                <w:lang w:val="uk-UA"/>
              </w:rPr>
              <w:t>Дострокове погашення</w:t>
            </w:r>
          </w:p>
        </w:tc>
        <w:tc>
          <w:tcPr>
            <w:tcW w:w="12527" w:type="dxa"/>
            <w:gridSpan w:val="3"/>
            <w:tcBorders>
              <w:top w:val="single" w:sz="4" w:space="0" w:color="000000"/>
              <w:start w:val="single" w:sz="4" w:space="0" w:color="000000"/>
              <w:bottom w:val="single" w:sz="4" w:space="0" w:color="000000"/>
              <w:end w:val="single" w:sz="4" w:space="0" w:color="000000"/>
            </w:tcBorders>
          </w:tcPr>
          <w:p>
            <w:pPr>
              <w:pStyle w:val="Normal"/>
              <w:widowControl w:val="false"/>
              <w:spacing w:before="113" w:after="113"/>
              <w:jc w:val="center"/>
              <w:rPr>
                <w:sz w:val="20"/>
              </w:rPr>
            </w:pPr>
            <w:r>
              <w:rPr>
                <w:sz w:val="20"/>
                <w:lang w:val="uk-UA"/>
              </w:rPr>
              <w:t>Можливе</w:t>
            </w:r>
          </w:p>
        </w:tc>
      </w:tr>
      <w:tr>
        <w:trPr>
          <w:trHeight w:val="261" w:hRule="atLeast"/>
        </w:trPr>
        <w:tc>
          <w:tcPr>
            <w:tcW w:w="2548" w:type="dxa"/>
            <w:tcBorders>
              <w:start w:val="single" w:sz="4" w:space="0" w:color="000000"/>
              <w:bottom w:val="single" w:sz="4" w:space="0" w:color="000000"/>
              <w:end w:val="single" w:sz="4" w:space="0" w:color="000000"/>
            </w:tcBorders>
            <w:vAlign w:val="center"/>
          </w:tcPr>
          <w:p>
            <w:pPr>
              <w:pStyle w:val="Normal"/>
              <w:widowControl w:val="false"/>
              <w:spacing w:before="100" w:after="100"/>
              <w:jc w:val="center"/>
              <w:rPr>
                <w:b/>
                <w:bCs/>
                <w:sz w:val="20"/>
              </w:rPr>
            </w:pPr>
            <w:r>
              <w:rPr>
                <w:b/>
                <w:bCs/>
                <w:sz w:val="20"/>
                <w:lang w:val="uk-UA"/>
              </w:rPr>
              <w:t>Програмні в</w:t>
            </w:r>
            <w:r>
              <w:rPr>
                <w:b/>
                <w:bCs/>
                <w:sz w:val="20"/>
              </w:rPr>
              <w:t>имоги до ОСББ / ЖБК</w:t>
            </w:r>
          </w:p>
        </w:tc>
        <w:tc>
          <w:tcPr>
            <w:tcW w:w="3796" w:type="dxa"/>
            <w:tcBorders>
              <w:start w:val="single" w:sz="4" w:space="0" w:color="000000"/>
              <w:bottom w:val="single" w:sz="4" w:space="0" w:color="000000"/>
              <w:end w:val="single" w:sz="4" w:space="0" w:color="000000"/>
            </w:tcBorders>
            <w:vAlign w:val="center"/>
          </w:tcPr>
          <w:p>
            <w:pPr>
              <w:pStyle w:val="BodyTextIndent2"/>
              <w:widowControl w:val="false"/>
              <w:suppressAutoHyphens w:val="false"/>
              <w:spacing w:before="0" w:after="60"/>
              <w:ind w:hanging="0" w:end="-2"/>
              <w:jc w:val="center"/>
              <w:rPr>
                <w:sz w:val="20"/>
              </w:rPr>
            </w:pPr>
            <w:r>
              <w:rPr>
                <w:b/>
                <w:caps/>
                <w:color w:val="000000"/>
                <w:sz w:val="20"/>
              </w:rPr>
              <w:t xml:space="preserve">ПрограмА «ТЕПЛИЙ ДІМ» </w:t>
              <w:br/>
              <w:t>ЛЬВІВСЬКОЇ МІСЬКОЇ РАДИ</w:t>
            </w:r>
          </w:p>
        </w:tc>
        <w:tc>
          <w:tcPr>
            <w:tcW w:w="4815" w:type="dxa"/>
            <w:tcBorders>
              <w:start w:val="single" w:sz="4" w:space="0" w:color="000000"/>
              <w:bottom w:val="single" w:sz="4" w:space="0" w:color="000000"/>
            </w:tcBorders>
            <w:vAlign w:val="center"/>
          </w:tcPr>
          <w:p>
            <w:pPr>
              <w:pStyle w:val="BodyTextIndent2"/>
              <w:widowControl w:val="false"/>
              <w:suppressAutoHyphens w:val="false"/>
              <w:spacing w:before="0" w:after="60"/>
              <w:ind w:hanging="0" w:end="-2"/>
              <w:rPr>
                <w:sz w:val="20"/>
              </w:rPr>
            </w:pPr>
            <w:r>
              <w:rPr>
                <w:bCs/>
                <w:caps/>
                <w:color w:val="000000"/>
                <w:sz w:val="20"/>
              </w:rPr>
              <w:t xml:space="preserve"> </w:t>
            </w:r>
            <w:r>
              <w:rPr>
                <w:b/>
                <w:caps/>
                <w:color w:val="000000"/>
                <w:sz w:val="20"/>
              </w:rPr>
              <w:t>програмА «ЕНЕРГОДІМ»:</w:t>
            </w:r>
          </w:p>
          <w:p>
            <w:pPr>
              <w:pStyle w:val="BodyTextIndent2"/>
              <w:widowControl w:val="false"/>
              <w:numPr>
                <w:ilvl w:val="0"/>
                <w:numId w:val="1"/>
              </w:numPr>
              <w:suppressAutoHyphens w:val="false"/>
              <w:spacing w:before="0" w:after="60"/>
              <w:ind w:hanging="0" w:start="0" w:end="-2"/>
              <w:rPr>
                <w:sz w:val="20"/>
              </w:rPr>
            </w:pPr>
            <w:r>
              <w:rPr>
                <w:bCs/>
                <w:color w:val="000000"/>
                <w:sz w:val="20"/>
              </w:rPr>
              <w:t>є учасником</w:t>
            </w:r>
            <w:r>
              <w:rPr>
                <w:bCs/>
                <w:caps/>
                <w:color w:val="000000"/>
                <w:sz w:val="20"/>
              </w:rPr>
              <w:t xml:space="preserve"> програмИ «ЕНЕРГОДІМ»</w:t>
            </w:r>
            <w:r>
              <w:rPr>
                <w:sz w:val="20"/>
              </w:rPr>
              <w:t xml:space="preserve">, що діє </w:t>
            </w:r>
            <w:r>
              <w:rPr>
                <w:bCs/>
                <w:color w:val="000000"/>
                <w:sz w:val="20"/>
              </w:rPr>
              <w:t>в рамках співпраці</w:t>
            </w:r>
            <w:r>
              <w:rPr>
                <w:sz w:val="20"/>
              </w:rPr>
              <w:t xml:space="preserve"> з</w:t>
            </w:r>
            <w:r>
              <w:rPr>
                <w:bCs/>
                <w:color w:val="000000"/>
                <w:sz w:val="20"/>
              </w:rPr>
              <w:t xml:space="preserve"> </w:t>
            </w:r>
            <w:r>
              <w:rPr>
                <w:sz w:val="20"/>
              </w:rPr>
              <w:t>ДЕРЖАВНОЮ УСТАНОВОЮ «ФОНД ЕНЕРГОЕФЕКТИВНОСТІ»;</w:t>
            </w:r>
          </w:p>
          <w:p>
            <w:pPr>
              <w:pStyle w:val="BodyTextIndent2"/>
              <w:widowControl w:val="false"/>
              <w:numPr>
                <w:ilvl w:val="0"/>
                <w:numId w:val="1"/>
              </w:numPr>
              <w:suppressAutoHyphens w:val="false"/>
              <w:spacing w:before="0" w:after="60"/>
              <w:ind w:hanging="0" w:start="0" w:end="-2"/>
              <w:rPr>
                <w:sz w:val="20"/>
              </w:rPr>
            </w:pPr>
            <w:r>
              <w:rPr>
                <w:color w:val="000000"/>
                <w:sz w:val="20"/>
              </w:rPr>
              <w:t>позичальники, що провели сертифікацію енергетичної ефективності будинку, мають сертифікат енергоефективності та опис проекту та отримали схвалення від Фонду заявки на затвердження проекту</w:t>
            </w:r>
          </w:p>
          <w:p>
            <w:pPr>
              <w:pStyle w:val="BodyTextIndent2"/>
              <w:widowControl w:val="false"/>
              <w:suppressAutoHyphens w:val="false"/>
              <w:spacing w:before="0" w:after="60"/>
              <w:ind w:hanging="0" w:end="-2"/>
              <w:rPr>
                <w:sz w:val="20"/>
              </w:rPr>
            </w:pPr>
            <w:r>
              <w:rPr>
                <w:b/>
                <w:bCs/>
                <w:sz w:val="20"/>
              </w:rPr>
              <w:t>ПРОГРАМА «ГрінДІМ»:</w:t>
            </w:r>
          </w:p>
          <w:p>
            <w:pPr>
              <w:pStyle w:val="BodyTextIndent2"/>
              <w:widowControl w:val="false"/>
              <w:numPr>
                <w:ilvl w:val="0"/>
                <w:numId w:val="3"/>
              </w:numPr>
              <w:suppressAutoHyphens w:val="false"/>
              <w:spacing w:before="0" w:after="60"/>
              <w:ind w:hanging="0" w:start="72" w:end="-2"/>
              <w:rPr>
                <w:sz w:val="20"/>
              </w:rPr>
            </w:pPr>
            <w:r>
              <w:rPr>
                <w:sz w:val="20"/>
              </w:rPr>
              <w:t>можуть бути учасниками ПРОГРАМИ «ГрінДІМ», що діє в рамках співпраці з ДЕРЖАВНОЮ УСТАНОВОЮ «ФОНД ЕНЕРГОЕФЕКТИВНОСТІ»;</w:t>
            </w:r>
          </w:p>
          <w:p>
            <w:pPr>
              <w:pStyle w:val="BodyTextIndent2"/>
              <w:widowControl w:val="false"/>
              <w:numPr>
                <w:ilvl w:val="0"/>
                <w:numId w:val="3"/>
              </w:numPr>
              <w:suppressAutoHyphens w:val="false"/>
              <w:spacing w:before="0" w:after="60"/>
              <w:ind w:hanging="0" w:start="72" w:end="-2"/>
              <w:rPr>
                <w:sz w:val="20"/>
              </w:rPr>
            </w:pPr>
            <w:r>
              <w:rPr>
                <w:sz w:val="20"/>
              </w:rPr>
              <w:t>будинок ОСББ/ЖБК має відповідати технічним вимогам у випадку коли позичальник є учасником ПРОГРАМИ «ГрінДІМ», що діє в рамках співпраці з ДЕРЖАВНОЮ УСТАНОВОЮ «ФОНД ЕНЕРГОЕФЕКТИВНОСТІ»</w:t>
            </w:r>
          </w:p>
        </w:tc>
        <w:tc>
          <w:tcPr>
            <w:tcW w:w="3916" w:type="dxa"/>
            <w:tcBorders>
              <w:start w:val="single" w:sz="4" w:space="0" w:color="000000"/>
              <w:bottom w:val="single" w:sz="4" w:space="0" w:color="000000"/>
              <w:end w:val="single" w:sz="4" w:space="0" w:color="000000"/>
            </w:tcBorders>
            <w:vAlign w:val="center"/>
          </w:tcPr>
          <w:p>
            <w:pPr>
              <w:pStyle w:val="BodyTextIndent2"/>
              <w:widowControl w:val="false"/>
              <w:suppressAutoHyphens w:val="false"/>
              <w:spacing w:before="0" w:after="60"/>
              <w:ind w:hanging="0" w:start="106" w:end="-2"/>
              <w:rPr>
                <w:sz w:val="20"/>
              </w:rPr>
            </w:pPr>
            <w:r>
              <w:rPr>
                <w:b/>
                <w:caps/>
                <w:color w:val="000000"/>
                <w:sz w:val="20"/>
              </w:rPr>
              <w:t xml:space="preserve">програмА </w:t>
            </w:r>
            <w:r>
              <w:rPr>
                <w:b/>
                <w:color w:val="000000"/>
                <w:sz w:val="20"/>
              </w:rPr>
              <w:t>«ГрінДІМ»:</w:t>
            </w:r>
          </w:p>
          <w:p>
            <w:pPr>
              <w:pStyle w:val="BodyTextIndent2"/>
              <w:widowControl w:val="false"/>
              <w:numPr>
                <w:ilvl w:val="0"/>
                <w:numId w:val="1"/>
              </w:numPr>
              <w:suppressAutoHyphens w:val="false"/>
              <w:spacing w:before="0" w:after="60"/>
              <w:ind w:hanging="0" w:start="106" w:end="-2"/>
              <w:rPr>
                <w:sz w:val="20"/>
              </w:rPr>
            </w:pPr>
            <w:r>
              <w:rPr>
                <w:bCs/>
                <w:color w:val="000000"/>
                <w:sz w:val="20"/>
              </w:rPr>
              <w:t>можуть бути учасниками</w:t>
            </w:r>
            <w:r>
              <w:rPr>
                <w:bCs/>
                <w:caps/>
                <w:color w:val="000000"/>
                <w:sz w:val="20"/>
              </w:rPr>
              <w:t xml:space="preserve"> програмИ </w:t>
            </w:r>
            <w:r>
              <w:rPr>
                <w:sz w:val="20"/>
              </w:rPr>
              <w:t xml:space="preserve">«ГрінДІМ», що діє </w:t>
            </w:r>
            <w:r>
              <w:rPr>
                <w:bCs/>
                <w:color w:val="000000"/>
                <w:sz w:val="20"/>
              </w:rPr>
              <w:t>в рамках співпраці</w:t>
            </w:r>
            <w:r>
              <w:rPr>
                <w:sz w:val="20"/>
              </w:rPr>
              <w:t xml:space="preserve"> з</w:t>
            </w:r>
            <w:r>
              <w:rPr>
                <w:bCs/>
                <w:color w:val="000000"/>
                <w:sz w:val="20"/>
              </w:rPr>
              <w:t xml:space="preserve"> </w:t>
            </w:r>
            <w:r>
              <w:rPr>
                <w:sz w:val="20"/>
              </w:rPr>
              <w:t>ДЕРЖАВНОЮ УСТАНОВОЮ «ФОНД ЕНЕРГОЕФЕКТИВНОСТІ»;</w:t>
            </w:r>
          </w:p>
          <w:p>
            <w:pPr>
              <w:pStyle w:val="Normal"/>
              <w:widowControl w:val="false"/>
              <w:numPr>
                <w:ilvl w:val="0"/>
                <w:numId w:val="1"/>
              </w:numPr>
              <w:suppressAutoHyphens w:val="false"/>
              <w:ind w:hanging="0" w:start="106" w:end="19"/>
              <w:jc w:val="both"/>
              <w:rPr>
                <w:sz w:val="20"/>
              </w:rPr>
            </w:pPr>
            <w:r>
              <w:rPr>
                <w:color w:val="000000"/>
                <w:sz w:val="20"/>
                <w:lang w:val="uk-UA"/>
              </w:rPr>
              <w:t>будинок ОСББ/ЖБК має відповідати технічним вимогам у випадку коли позичальник є учасником ПРОГРАМИ «ГрінДІМ», що діє в рамках співпраці з ДЕРЖАВНОЮ УСТАНОВОЮ «ФОНД ЕНЕРГОЕФЕКТИВНОСТІ»</w:t>
            </w:r>
          </w:p>
        </w:tc>
      </w:tr>
      <w:tr>
        <w:trPr>
          <w:trHeight w:val="1153" w:hRule="atLeast"/>
        </w:trPr>
        <w:tc>
          <w:tcPr>
            <w:tcW w:w="2548"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100" w:after="100"/>
              <w:jc w:val="center"/>
              <w:rPr>
                <w:b/>
                <w:bCs/>
                <w:i/>
                <w:i/>
                <w:sz w:val="20"/>
                <w:lang w:val="uk-UA"/>
              </w:rPr>
            </w:pPr>
            <w:r>
              <w:rPr>
                <w:b/>
                <w:bCs/>
                <w:i/>
                <w:sz w:val="20"/>
                <w:lang w:val="uk-UA"/>
              </w:rPr>
            </w:r>
          </w:p>
          <w:p>
            <w:pPr>
              <w:pStyle w:val="Normal"/>
              <w:widowControl w:val="false"/>
              <w:spacing w:before="100" w:after="100"/>
              <w:jc w:val="center"/>
              <w:rPr>
                <w:b/>
                <w:bCs/>
                <w:i/>
                <w:i/>
                <w:sz w:val="20"/>
                <w:lang w:val="uk-UA"/>
              </w:rPr>
            </w:pPr>
            <w:r>
              <w:rPr>
                <w:b/>
                <w:bCs/>
                <w:i/>
                <w:sz w:val="20"/>
                <w:lang w:val="uk-UA"/>
              </w:rPr>
            </w:r>
          </w:p>
          <w:p>
            <w:pPr>
              <w:pStyle w:val="Normal"/>
              <w:widowControl w:val="false"/>
              <w:spacing w:before="100" w:after="100"/>
              <w:jc w:val="center"/>
              <w:rPr>
                <w:sz w:val="20"/>
              </w:rPr>
            </w:pPr>
            <w:r>
              <w:rPr>
                <w:b/>
                <w:bCs/>
                <w:i/>
                <w:sz w:val="20"/>
                <w:lang w:val="uk-UA"/>
              </w:rPr>
              <w:t>Основні вимоги до ОСББ / ЖБК</w:t>
            </w:r>
          </w:p>
        </w:tc>
        <w:tc>
          <w:tcPr>
            <w:tcW w:w="12527" w:type="dxa"/>
            <w:gridSpan w:val="3"/>
            <w:tcBorders>
              <w:top w:val="single" w:sz="2" w:space="0" w:color="000000"/>
              <w:start w:val="single" w:sz="2" w:space="0" w:color="000000"/>
              <w:bottom w:val="single" w:sz="2" w:space="0" w:color="000000"/>
              <w:end w:val="single" w:sz="2" w:space="0" w:color="000000"/>
            </w:tcBorders>
          </w:tcPr>
          <w:p>
            <w:pPr>
              <w:pStyle w:val="BodyTextIndent2"/>
              <w:widowControl w:val="false"/>
              <w:spacing w:before="113" w:after="62"/>
              <w:ind w:hanging="0" w:end="-2"/>
              <w:rPr>
                <w:sz w:val="20"/>
              </w:rPr>
            </w:pPr>
            <w:r>
              <w:rPr>
                <w:color w:val="000000"/>
                <w:sz w:val="20"/>
              </w:rPr>
              <w:t>Юридичні особи – об’єднання співвласників багатоквартирних будинків та житлово-будівельні кооперативи які відповідають одночасно наступним вимогам:</w:t>
            </w:r>
          </w:p>
          <w:p>
            <w:pPr>
              <w:pStyle w:val="BodyTextIndent2"/>
              <w:widowControl w:val="false"/>
              <w:numPr>
                <w:ilvl w:val="0"/>
                <w:numId w:val="1"/>
              </w:numPr>
              <w:suppressAutoHyphens w:val="false"/>
              <w:spacing w:before="0" w:after="60"/>
              <w:ind w:hanging="284" w:start="316" w:end="-2"/>
              <w:rPr>
                <w:sz w:val="20"/>
              </w:rPr>
            </w:pPr>
            <w:r>
              <w:rPr>
                <w:color w:val="000000"/>
                <w:sz w:val="20"/>
              </w:rPr>
              <w:t>середній рівень збирання платежів за рік не нижче 85 % затвердженого кошторису, який</w:t>
            </w:r>
            <w:r>
              <w:rPr>
                <w:sz w:val="20"/>
              </w:rPr>
              <w:t xml:space="preserve"> розраховується за наступною формулою: сума фактично зібраних платежів за період з дати затвердження кошторису поділено на суму планових платежів по кошторису за аналогічний період;</w:t>
            </w:r>
          </w:p>
          <w:p>
            <w:pPr>
              <w:pStyle w:val="BodyTextIndent2"/>
              <w:widowControl w:val="false"/>
              <w:numPr>
                <w:ilvl w:val="0"/>
                <w:numId w:val="1"/>
              </w:numPr>
              <w:suppressAutoHyphens w:val="false"/>
              <w:spacing w:before="0" w:after="60"/>
              <w:ind w:hanging="284" w:start="316" w:end="-2"/>
              <w:rPr>
                <w:sz w:val="20"/>
              </w:rPr>
            </w:pPr>
            <w:r>
              <w:rPr>
                <w:color w:val="000000"/>
                <w:sz w:val="20"/>
              </w:rPr>
              <w:t>зареєстровані на території України, окрім територій високого ризику, в тому числі територій, зазначених в наказі Міністерства з питань реінтеграції тимчасово окупованих територій України №309 від 22.12.2022, для яких не визначена дата завершення тимчасової окупації / бойових дій;</w:t>
            </w:r>
          </w:p>
          <w:p>
            <w:pPr>
              <w:pStyle w:val="BodyTextIndent2"/>
              <w:widowControl w:val="false"/>
              <w:numPr>
                <w:ilvl w:val="0"/>
                <w:numId w:val="1"/>
              </w:numPr>
              <w:suppressAutoHyphens w:val="false"/>
              <w:spacing w:before="170" w:after="62"/>
              <w:ind w:hanging="284" w:start="316" w:end="-2"/>
              <w:rPr>
                <w:sz w:val="20"/>
              </w:rPr>
            </w:pPr>
            <w:r>
              <w:rPr>
                <w:b/>
                <w:bCs/>
                <w:sz w:val="20"/>
              </w:rPr>
              <w:t>рішення щодо отримання кредиту ОСББ прийнято:</w:t>
            </w:r>
          </w:p>
          <w:p>
            <w:pPr>
              <w:pStyle w:val="rvps2"/>
              <w:widowControl w:val="false"/>
              <w:shd w:val="clear" w:color="auto" w:fill="FFFFFF"/>
              <w:spacing w:beforeAutospacing="0" w:before="0" w:afterAutospacing="0" w:after="150"/>
              <w:ind w:start="316"/>
              <w:jc w:val="both"/>
              <w:textAlignment w:val="baseline"/>
              <w:rPr>
                <w:sz w:val="20"/>
              </w:rPr>
            </w:pPr>
            <w:r>
              <w:rPr>
                <w:color w:val="000000"/>
                <w:sz w:val="20"/>
                <w:lang w:val="uk-UA"/>
              </w:rPr>
              <w:t>якщо за нього проголосували співвласники (їх представники), загальна кількість голосів яких становить більше половини загальної кількості голосів усіх співвласників</w:t>
            </w:r>
            <w:bookmarkStart w:id="0" w:name="n80"/>
            <w:bookmarkEnd w:id="0"/>
            <w:r>
              <w:rPr>
                <w:color w:val="000000"/>
                <w:sz w:val="20"/>
                <w:lang w:val="uk-UA"/>
              </w:rPr>
              <w:t>;</w:t>
            </w:r>
          </w:p>
          <w:p>
            <w:pPr>
              <w:pStyle w:val="ListParagraph"/>
              <w:widowControl w:val="false"/>
              <w:suppressAutoHyphens w:val="false"/>
              <w:ind w:start="316"/>
              <w:jc w:val="both"/>
              <w:rPr>
                <w:sz w:val="20"/>
              </w:rPr>
            </w:pPr>
            <w:r>
              <w:rPr>
                <w:color w:val="000000"/>
                <w:sz w:val="20"/>
                <w:lang w:eastAsia="ru-RU"/>
              </w:rPr>
              <w:t>якщо одна особа є власником квартир (квартири) та/або нежитлових приміщень, загальна площа яких становить більш як 50 відсотків загальної площі всіх квартир та нежитлових приміщень багатоквартирного будинку, кожний співвласник має один голос незалежно від кількості та площі квартир або нежитлових приміщень, що перебувають у його власності.</w:t>
            </w:r>
          </w:p>
          <w:p>
            <w:pPr>
              <w:pStyle w:val="ListParagraph"/>
              <w:widowControl w:val="false"/>
              <w:suppressAutoHyphens w:val="false"/>
              <w:ind w:start="316"/>
              <w:jc w:val="both"/>
              <w:rPr>
                <w:sz w:val="16"/>
                <w:szCs w:val="16"/>
              </w:rPr>
            </w:pPr>
            <w:r>
              <w:rPr>
                <w:sz w:val="16"/>
                <w:szCs w:val="16"/>
              </w:rPr>
            </w:r>
          </w:p>
          <w:p>
            <w:pPr>
              <w:pStyle w:val="ListParagraph"/>
              <w:widowControl w:val="false"/>
              <w:numPr>
                <w:ilvl w:val="0"/>
                <w:numId w:val="2"/>
              </w:numPr>
              <w:suppressAutoHyphens w:val="false"/>
              <w:spacing w:before="113" w:after="0"/>
              <w:ind w:hanging="284" w:start="316"/>
              <w:contextualSpacing w:val="false"/>
              <w:jc w:val="both"/>
              <w:rPr>
                <w:sz w:val="20"/>
              </w:rPr>
            </w:pPr>
            <w:r>
              <w:rPr>
                <w:b/>
                <w:bCs/>
                <w:sz w:val="20"/>
              </w:rPr>
              <w:t>рішення щодо отримання кредиту співвласниками багатоквартирного будинку, в якому діє ЖБК прийнято:</w:t>
            </w:r>
          </w:p>
          <w:p>
            <w:pPr>
              <w:pStyle w:val="ListParagraph"/>
              <w:widowControl w:val="false"/>
              <w:spacing w:before="57" w:after="113"/>
              <w:ind w:start="316"/>
              <w:contextualSpacing w:val="false"/>
              <w:jc w:val="both"/>
              <w:rPr>
                <w:sz w:val="20"/>
              </w:rPr>
            </w:pPr>
            <w:r>
              <w:rPr>
                <w:sz w:val="20"/>
              </w:rPr>
              <w:t>якщо за нього проголосували більшість голосів членів (уповноважених) кооперативу, присутніх на його загальних зборах;</w:t>
            </w:r>
          </w:p>
          <w:p>
            <w:pPr>
              <w:pStyle w:val="BodyTextIndent2"/>
              <w:widowControl w:val="false"/>
              <w:numPr>
                <w:ilvl w:val="0"/>
                <w:numId w:val="1"/>
              </w:numPr>
              <w:suppressAutoHyphens w:val="false"/>
              <w:spacing w:before="0" w:after="60"/>
              <w:ind w:hanging="284" w:start="316" w:end="-2"/>
              <w:rPr>
                <w:sz w:val="20"/>
              </w:rPr>
            </w:pPr>
            <w:r>
              <w:rPr>
                <w:color w:val="000000"/>
                <w:sz w:val="20"/>
              </w:rPr>
              <w:t>відсутність негативної інформації щодо Позичальника, в тому числі в бюро кредитних історій;</w:t>
            </w:r>
          </w:p>
          <w:p>
            <w:pPr>
              <w:pStyle w:val="BodyTextIndent2"/>
              <w:widowControl w:val="false"/>
              <w:numPr>
                <w:ilvl w:val="0"/>
                <w:numId w:val="1"/>
              </w:numPr>
              <w:suppressAutoHyphens w:val="false"/>
              <w:spacing w:before="0" w:after="60"/>
              <w:ind w:hanging="284" w:start="316" w:end="-2"/>
              <w:rPr>
                <w:sz w:val="20"/>
              </w:rPr>
            </w:pPr>
            <w:r>
              <w:rPr>
                <w:color w:val="000000"/>
                <w:sz w:val="20"/>
              </w:rPr>
              <w:t xml:space="preserve">відсутність простроченої заборгованості перед ресурсопостачальними підприємствами; </w:t>
            </w:r>
          </w:p>
          <w:p>
            <w:pPr>
              <w:pStyle w:val="BodyTextIndent2"/>
              <w:widowControl w:val="false"/>
              <w:numPr>
                <w:ilvl w:val="0"/>
                <w:numId w:val="1"/>
              </w:numPr>
              <w:suppressAutoHyphens w:val="false"/>
              <w:spacing w:before="0" w:after="60"/>
              <w:ind w:hanging="284" w:start="316" w:end="-2"/>
              <w:rPr>
                <w:sz w:val="20"/>
              </w:rPr>
            </w:pPr>
            <w:r>
              <w:rPr>
                <w:color w:val="000000"/>
                <w:sz w:val="20"/>
              </w:rPr>
              <w:t xml:space="preserve"> </w:t>
            </w:r>
            <w:r>
              <w:rPr>
                <w:color w:val="000000"/>
                <w:sz w:val="20"/>
              </w:rPr>
              <w:t>ОСББ та ЖБК</w:t>
            </w:r>
            <w:r>
              <w:rPr>
                <w:color w:val="000000"/>
                <w:sz w:val="20"/>
                <w:lang w:val="ru-RU"/>
              </w:rPr>
              <w:t xml:space="preserve"> </w:t>
            </w:r>
            <w:r>
              <w:rPr>
                <w:color w:val="000000"/>
                <w:sz w:val="20"/>
              </w:rPr>
              <w:t>не є банкрутом та/або не знаходиться на стадії ліквідації;</w:t>
            </w:r>
          </w:p>
          <w:p>
            <w:pPr>
              <w:pStyle w:val="BodyTextIndent2"/>
              <w:widowControl w:val="false"/>
              <w:numPr>
                <w:ilvl w:val="0"/>
                <w:numId w:val="1"/>
              </w:numPr>
              <w:suppressAutoHyphens w:val="false"/>
              <w:spacing w:before="0" w:after="60"/>
              <w:ind w:hanging="284" w:start="316" w:end="-2"/>
              <w:rPr>
                <w:sz w:val="20"/>
              </w:rPr>
            </w:pPr>
            <w:r>
              <w:rPr>
                <w:color w:val="000000"/>
                <w:sz w:val="20"/>
              </w:rPr>
              <w:t xml:space="preserve">відсутність судових позовів до ОСББ та ЖБК, Голови Правління або </w:t>
            </w:r>
            <w:r>
              <w:rPr>
                <w:color w:val="000000"/>
                <w:sz w:val="20"/>
                <w:lang w:val="ru-RU"/>
              </w:rPr>
              <w:t>З</w:t>
            </w:r>
            <w:r>
              <w:rPr>
                <w:color w:val="000000"/>
                <w:sz w:val="20"/>
              </w:rPr>
              <w:t>аступника</w:t>
            </w:r>
            <w:r>
              <w:rPr>
                <w:color w:val="000000"/>
                <w:sz w:val="20"/>
                <w:lang w:val="ru-RU"/>
              </w:rPr>
              <w:t xml:space="preserve"> </w:t>
            </w:r>
            <w:r>
              <w:rPr>
                <w:color w:val="000000"/>
                <w:sz w:val="20"/>
              </w:rPr>
              <w:t>Голови Правління (при наявності), секретаря загальних зборів;</w:t>
            </w:r>
          </w:p>
          <w:p>
            <w:pPr>
              <w:pStyle w:val="Normal"/>
              <w:widowControl w:val="false"/>
              <w:numPr>
                <w:ilvl w:val="0"/>
                <w:numId w:val="1"/>
              </w:numPr>
              <w:suppressAutoHyphens w:val="false"/>
              <w:ind w:hanging="284" w:start="316" w:end="19"/>
              <w:jc w:val="both"/>
              <w:rPr>
                <w:sz w:val="20"/>
              </w:rPr>
            </w:pPr>
            <w:r>
              <w:rPr>
                <w:color w:val="000000"/>
                <w:sz w:val="20"/>
              </w:rPr>
              <w:t>наявність поточного рахунку в АТ «КБ «ГЛОБУС»</w:t>
            </w:r>
            <w:r>
              <w:rPr>
                <w:sz w:val="20"/>
              </w:rPr>
              <w:t>.</w:t>
            </w:r>
          </w:p>
        </w:tc>
      </w:tr>
    </w:tbl>
    <w:p>
      <w:pPr>
        <w:pStyle w:val="Normal"/>
        <w:rPr>
          <w:sz w:val="8"/>
          <w:szCs w:val="12"/>
          <w:lang w:val="uk-UA"/>
        </w:rPr>
      </w:pPr>
      <w:r>
        <w:rPr>
          <w:sz w:val="8"/>
          <w:szCs w:val="12"/>
          <w:lang w:val="uk-UA"/>
        </w:rPr>
      </w:r>
    </w:p>
    <w:sectPr>
      <w:type w:val="nextPage"/>
      <w:pgSz w:orient="landscape" w:w="16838" w:h="11906"/>
      <w:pgMar w:left="567" w:right="567" w:gutter="0" w:header="0" w:top="510" w:footer="0" w:bottom="51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Times New Roman">
    <w:charset w:val="cc" w:characterSet="windows-1251"/>
    <w:family w:val="roman"/>
    <w:pitch w:val="variable"/>
  </w:font>
  <w:font w:name="Wingdings">
    <w:charset w:val="cc" w:characterSet="windows-1251"/>
    <w:family w:val="roman"/>
    <w:pitch w:val="variable"/>
  </w:font>
  <w:font w:name="Courier New">
    <w:charset w:val="cc" w:characterSet="windows-1251"/>
    <w:family w:val="roman"/>
    <w:pitch w:val="variable"/>
  </w:font>
  <w:font w:name="Symbol">
    <w:charset w:val="cc" w:characterSet="windows-1251"/>
    <w:family w:val="roman"/>
    <w:pitch w:val="variable"/>
  </w:font>
  <w:font w:name="Tahoma">
    <w:charset w:val="cc" w:characterSet="windows-1251"/>
    <w:family w:val="swiss"/>
    <w:pitch w:val="variable"/>
  </w:font>
  <w:font w:name="Liberation Sans">
    <w:altName w:val="Arial"/>
    <w:charset w:val="cc" w:characterSet="windows-1251"/>
    <w:family w:val="swiss"/>
    <w:pitch w:val="variable"/>
  </w:font>
  <w:font w:name="Verdana">
    <w:charset w:val="cc" w:characterSet="windows-1251"/>
    <w:family w:val="swiss"/>
    <w:pitch w:val="variable"/>
  </w:font>
  <w:font w:name="Calibri">
    <w:charset w:val="cc" w:characterSet="windows-1251"/>
    <w:family w:val="swiss"/>
    <w:pitch w:val="variable"/>
  </w:font>
  <w:font w:name="Courier New">
    <w:charset w:val="01"/>
    <w:family w:val="modern"/>
    <w:pitch w:val="fixed"/>
  </w:font>
  <w:font w:name="Wingdings">
    <w:charset w:val="02"/>
    <w:family w:val="auto"/>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85"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5"/>
      <w:numFmt w:val="bullet"/>
      <w:lvlText w:val="-"/>
      <w:lvlJc w:val="start"/>
      <w:pPr>
        <w:tabs>
          <w:tab w:val="num" w:pos="0"/>
        </w:tabs>
        <w:ind w:start="720" w:hanging="360"/>
      </w:pPr>
      <w:rPr>
        <w:rFonts w:ascii="Times New Roman" w:hAnsi="Times New Roman" w:cs="Times New Roman"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
    <w:lvl w:ilvl="0">
      <w:numFmt w:val="bullet"/>
      <w:lvlText w:val="-"/>
      <w:lvlJc w:val="start"/>
      <w:pPr>
        <w:tabs>
          <w:tab w:val="num" w:pos="0"/>
        </w:tabs>
        <w:ind w:start="720" w:hanging="360"/>
      </w:pPr>
      <w:rPr>
        <w:rFonts w:ascii="Times New Roman" w:hAnsi="Times New Roman" w:cs="Times New Roman"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uk-UA"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start"/>
    </w:pPr>
    <w:rPr>
      <w:rFonts w:ascii="Times New Roman" w:hAnsi="Times New Roman" w:eastAsia="Times New Roman" w:cs="Times New Roman"/>
      <w:color w:val="auto"/>
      <w:kern w:val="0"/>
      <w:sz w:val="24"/>
      <w:szCs w:val="24"/>
      <w:lang w:val="ru-RU" w:bidi="ar-SA" w:eastAsia="zh-CN"/>
    </w:rPr>
  </w:style>
  <w:style w:type="character" w:styleId="DefaultParagraphFont" w:default="1">
    <w:name w:val="Default Paragraph Font"/>
    <w:uiPriority w:val="1"/>
    <w:semiHidden/>
    <w:unhideWhenUsed/>
    <w:qFormat/>
    <w:rPr/>
  </w:style>
  <w:style w:type="character" w:styleId="WW8Num1z0" w:customStyle="1">
    <w:name w:val="WW8Num1z0"/>
    <w:qFormat/>
    <w:rPr>
      <w:rFonts w:ascii="Wingdings" w:hAnsi="Wingdings" w:cs="Wingdings"/>
    </w:rPr>
  </w:style>
  <w:style w:type="character" w:styleId="WW8Num1z1" w:customStyle="1">
    <w:name w:val="WW8Num1z1"/>
    <w:qFormat/>
    <w:rPr>
      <w:rFonts w:ascii="Courier New" w:hAnsi="Courier New" w:cs="Courier New"/>
    </w:rPr>
  </w:style>
  <w:style w:type="character" w:styleId="WW8Num1z3" w:customStyle="1">
    <w:name w:val="WW8Num1z3"/>
    <w:qFormat/>
    <w:rPr>
      <w:rFonts w:ascii="Symbol" w:hAnsi="Symbol" w:cs="Symbol"/>
    </w:rPr>
  </w:style>
  <w:style w:type="character" w:styleId="WW8Num2z0" w:customStyle="1">
    <w:name w:val="WW8Num2z0"/>
    <w:qFormat/>
    <w:rPr/>
  </w:style>
  <w:style w:type="character" w:styleId="WW8Num3z0" w:customStyle="1">
    <w:name w:val="WW8Num3z0"/>
    <w:qFormat/>
    <w:rPr>
      <w:rFonts w:ascii="Symbol" w:hAnsi="Symbol" w:cs="Symbol"/>
      <w:sz w:val="20"/>
      <w:szCs w:val="20"/>
    </w:rPr>
  </w:style>
  <w:style w:type="character" w:styleId="WW8Num3z1" w:customStyle="1">
    <w:name w:val="WW8Num3z1"/>
    <w:qFormat/>
    <w:rPr>
      <w:rFonts w:ascii="Courier New" w:hAnsi="Courier New" w:cs="Courier New"/>
    </w:rPr>
  </w:style>
  <w:style w:type="character" w:styleId="WW8Num3z2" w:customStyle="1">
    <w:name w:val="WW8Num3z2"/>
    <w:qFormat/>
    <w:rPr>
      <w:rFonts w:ascii="Wingdings" w:hAnsi="Wingdings" w:cs="Wingdings"/>
    </w:rPr>
  </w:style>
  <w:style w:type="character" w:styleId="WW8Num3z3" w:customStyle="1">
    <w:name w:val="WW8Num3z3"/>
    <w:qFormat/>
    <w:rPr>
      <w:rFonts w:ascii="Symbol" w:hAnsi="Symbol" w:cs="Symbol"/>
    </w:rPr>
  </w:style>
  <w:style w:type="character" w:styleId="WW8Num4z0" w:customStyle="1">
    <w:name w:val="WW8Num4z0"/>
    <w:qFormat/>
    <w:rPr>
      <w:rFonts w:ascii="Times New Roman" w:hAnsi="Times New Roman" w:cs="Times New Roman"/>
      <w:b/>
      <w:i w:val="false"/>
    </w:rPr>
  </w:style>
  <w:style w:type="character" w:styleId="WW8Num4z1" w:customStyle="1">
    <w:name w:val="WW8Num4z1"/>
    <w:qFormat/>
    <w:rPr>
      <w:rFonts w:ascii="Courier New" w:hAnsi="Courier New" w:cs="Courier New"/>
    </w:rPr>
  </w:style>
  <w:style w:type="character" w:styleId="WW8Num4z2" w:customStyle="1">
    <w:name w:val="WW8Num4z2"/>
    <w:qFormat/>
    <w:rPr>
      <w:rFonts w:ascii="Wingdings" w:hAnsi="Wingdings" w:cs="Wingdings"/>
    </w:rPr>
  </w:style>
  <w:style w:type="character" w:styleId="WW8Num4z3" w:customStyle="1">
    <w:name w:val="WW8Num4z3"/>
    <w:qFormat/>
    <w:rPr>
      <w:rFonts w:ascii="Symbol" w:hAnsi="Symbol" w:cs="Symbol"/>
    </w:rPr>
  </w:style>
  <w:style w:type="character" w:styleId="WW8Num5z0" w:customStyle="1">
    <w:name w:val="WW8Num5z0"/>
    <w:qFormat/>
    <w:rPr>
      <w:rFonts w:ascii="Times New Roman" w:hAnsi="Times New Roman" w:eastAsia="Times New Roman" w:cs="Times New Roman"/>
    </w:rPr>
  </w:style>
  <w:style w:type="character" w:styleId="WW8Num5z1" w:customStyle="1">
    <w:name w:val="WW8Num5z1"/>
    <w:qFormat/>
    <w:rPr>
      <w:rFonts w:ascii="Courier New" w:hAnsi="Courier New" w:cs="Courier New"/>
    </w:rPr>
  </w:style>
  <w:style w:type="character" w:styleId="WW8Num5z2" w:customStyle="1">
    <w:name w:val="WW8Num5z2"/>
    <w:qFormat/>
    <w:rPr>
      <w:rFonts w:ascii="Wingdings" w:hAnsi="Wingdings" w:cs="Wingdings"/>
    </w:rPr>
  </w:style>
  <w:style w:type="character" w:styleId="WW8Num5z3" w:customStyle="1">
    <w:name w:val="WW8Num5z3"/>
    <w:qFormat/>
    <w:rPr>
      <w:rFonts w:ascii="Symbol" w:hAnsi="Symbol" w:cs="Symbol"/>
    </w:rPr>
  </w:style>
  <w:style w:type="character" w:styleId="WW8Num6z0" w:customStyle="1">
    <w:name w:val="WW8Num6z0"/>
    <w:qFormat/>
    <w:rPr>
      <w:rFonts w:ascii="Times New Roman" w:hAnsi="Times New Roman" w:eastAsia="Times New Roman" w:cs="Times New Roman"/>
    </w:rPr>
  </w:style>
  <w:style w:type="character" w:styleId="WW8Num7z0" w:customStyle="1">
    <w:name w:val="WW8Num7z0"/>
    <w:qFormat/>
    <w:rPr/>
  </w:style>
  <w:style w:type="character" w:styleId="WW8Num8z0" w:customStyle="1">
    <w:name w:val="WW8Num8z0"/>
    <w:qFormat/>
    <w:rPr>
      <w:rFonts w:ascii="Symbol" w:hAnsi="Symbol" w:cs="Symbol"/>
    </w:rPr>
  </w:style>
  <w:style w:type="character" w:styleId="WW8Num8z1" w:customStyle="1">
    <w:name w:val="WW8Num8z1"/>
    <w:qFormat/>
    <w:rPr>
      <w:rFonts w:ascii="Courier New" w:hAnsi="Courier New" w:cs="Courier New"/>
    </w:rPr>
  </w:style>
  <w:style w:type="character" w:styleId="WW8Num8z2" w:customStyle="1">
    <w:name w:val="WW8Num8z2"/>
    <w:qFormat/>
    <w:rPr>
      <w:rFonts w:ascii="Wingdings" w:hAnsi="Wingdings" w:cs="Wingdings"/>
    </w:rPr>
  </w:style>
  <w:style w:type="character" w:styleId="WW8Num9z0" w:customStyle="1">
    <w:name w:val="WW8Num9z0"/>
    <w:qFormat/>
    <w:rPr>
      <w:rFonts w:ascii="Wingdings" w:hAnsi="Wingdings" w:cs="Wingdings"/>
      <w:b/>
      <w:i w:val="false"/>
    </w:rPr>
  </w:style>
  <w:style w:type="character" w:styleId="WW8Num10z0" w:customStyle="1">
    <w:name w:val="WW8Num10z0"/>
    <w:qFormat/>
    <w:rPr>
      <w:rFonts w:ascii="Symbol" w:hAnsi="Symbol" w:cs="Symbol"/>
    </w:rPr>
  </w:style>
  <w:style w:type="character" w:styleId="WW8Num11z0" w:customStyle="1">
    <w:name w:val="WW8Num11z0"/>
    <w:qFormat/>
    <w:rPr>
      <w:sz w:val="20"/>
    </w:rPr>
  </w:style>
  <w:style w:type="character" w:styleId="WW8Num12z0" w:customStyle="1">
    <w:name w:val="WW8Num12z0"/>
    <w:qFormat/>
    <w:rPr>
      <w:rFonts w:ascii="Wingdings" w:hAnsi="Wingdings" w:cs="Wingdings"/>
    </w:rPr>
  </w:style>
  <w:style w:type="character" w:styleId="WW8Num12z1" w:customStyle="1">
    <w:name w:val="WW8Num12z1"/>
    <w:qFormat/>
    <w:rPr>
      <w:rFonts w:ascii="Courier New" w:hAnsi="Courier New" w:cs="Courier New"/>
    </w:rPr>
  </w:style>
  <w:style w:type="character" w:styleId="WW8Num12z3" w:customStyle="1">
    <w:name w:val="WW8Num12z3"/>
    <w:qFormat/>
    <w:rPr>
      <w:rFonts w:ascii="Symbol" w:hAnsi="Symbol" w:cs="Symbol"/>
    </w:rPr>
  </w:style>
  <w:style w:type="character" w:styleId="WW8Num13z0" w:customStyle="1">
    <w:name w:val="WW8Num13z0"/>
    <w:qFormat/>
    <w:rPr>
      <w:rFonts w:ascii="Wingdings" w:hAnsi="Wingdings" w:cs="Wingdings"/>
    </w:rPr>
  </w:style>
  <w:style w:type="character" w:styleId="WW8Num13z1" w:customStyle="1">
    <w:name w:val="WW8Num13z1"/>
    <w:qFormat/>
    <w:rPr>
      <w:rFonts w:ascii="Courier New" w:hAnsi="Courier New" w:cs="Courier New"/>
    </w:rPr>
  </w:style>
  <w:style w:type="character" w:styleId="WW8Num13z3" w:customStyle="1">
    <w:name w:val="WW8Num13z3"/>
    <w:qFormat/>
    <w:rPr>
      <w:rFonts w:ascii="Symbol" w:hAnsi="Symbol" w:cs="Symbol"/>
    </w:rPr>
  </w:style>
  <w:style w:type="character" w:styleId="WW8Num14z0" w:customStyle="1">
    <w:name w:val="WW8Num14z0"/>
    <w:qFormat/>
    <w:rPr>
      <w:b/>
      <w:sz w:val="18"/>
      <w:szCs w:val="18"/>
    </w:rPr>
  </w:style>
  <w:style w:type="character" w:styleId="WW8Num15z0" w:customStyle="1">
    <w:name w:val="WW8Num15z0"/>
    <w:qFormat/>
    <w:rPr>
      <w:rFonts w:ascii="Times New Roman" w:hAnsi="Times New Roman" w:eastAsia="Times New Roman" w:cs="Times New Roman"/>
    </w:rPr>
  </w:style>
  <w:style w:type="character" w:styleId="WW8Num16z0" w:customStyle="1">
    <w:name w:val="WW8Num16z0"/>
    <w:qFormat/>
    <w:rPr>
      <w:rFonts w:ascii="Times New Roman" w:hAnsi="Times New Roman" w:eastAsia="Times New Roman" w:cs="Times New Roman"/>
    </w:rPr>
  </w:style>
  <w:style w:type="character" w:styleId="WW8Num16z1" w:customStyle="1">
    <w:name w:val="WW8Num16z1"/>
    <w:qFormat/>
    <w:rPr>
      <w:rFonts w:ascii="Courier New" w:hAnsi="Courier New" w:cs="Courier New"/>
    </w:rPr>
  </w:style>
  <w:style w:type="character" w:styleId="WW8Num16z2" w:customStyle="1">
    <w:name w:val="WW8Num16z2"/>
    <w:qFormat/>
    <w:rPr>
      <w:rFonts w:ascii="Wingdings" w:hAnsi="Wingdings" w:cs="Wingdings"/>
    </w:rPr>
  </w:style>
  <w:style w:type="character" w:styleId="WW8Num16z3" w:customStyle="1">
    <w:name w:val="WW8Num16z3"/>
    <w:qFormat/>
    <w:rPr>
      <w:rFonts w:ascii="Symbol" w:hAnsi="Symbol" w:cs="Symbol"/>
    </w:rPr>
  </w:style>
  <w:style w:type="character" w:styleId="2" w:customStyle="1">
    <w:name w:val="Основний текст з відступом 2 Знак"/>
    <w:uiPriority w:val="99"/>
    <w:qFormat/>
    <w:rPr>
      <w:sz w:val="24"/>
      <w:szCs w:val="24"/>
      <w:lang w:val="uk-UA" w:bidi="ar-SA"/>
    </w:rPr>
  </w:style>
  <w:style w:type="character" w:styleId="1" w:customStyle="1">
    <w:name w:val="Знак Знак1"/>
    <w:qFormat/>
    <w:rPr>
      <w:sz w:val="24"/>
      <w:szCs w:val="24"/>
      <w:lang w:val="uk-UA" w:bidi="ar-SA"/>
    </w:rPr>
  </w:style>
  <w:style w:type="character" w:styleId="21" w:customStyle="1">
    <w:name w:val="Основний текст 2 Знак"/>
    <w:qFormat/>
    <w:rPr>
      <w:sz w:val="22"/>
      <w:lang w:val="ru-RU"/>
    </w:rPr>
  </w:style>
  <w:style w:type="character" w:styleId="Style14" w:customStyle="1">
    <w:name w:val="Основний текст з відступом Знак"/>
    <w:qFormat/>
    <w:rPr>
      <w:sz w:val="28"/>
      <w:szCs w:val="24"/>
    </w:rPr>
  </w:style>
  <w:style w:type="character" w:styleId="Style15" w:customStyle="1">
    <w:name w:val="Нижній колонтитул Знак"/>
    <w:qFormat/>
    <w:rPr>
      <w:sz w:val="24"/>
      <w:szCs w:val="24"/>
      <w:lang w:val="ru-RU"/>
    </w:rPr>
  </w:style>
  <w:style w:type="character" w:styleId="Style16" w:customStyle="1">
    <w:name w:val="Верхній колонтитул Знак"/>
    <w:qFormat/>
    <w:rPr>
      <w:lang w:val="ru-RU"/>
    </w:rPr>
  </w:style>
  <w:style w:type="character" w:styleId="Style17" w:customStyle="1">
    <w:name w:val="Текст у виносці Знак"/>
    <w:qFormat/>
    <w:rPr>
      <w:rFonts w:ascii="Tahoma" w:hAnsi="Tahoma" w:cs="Tahoma"/>
      <w:sz w:val="16"/>
      <w:szCs w:val="16"/>
      <w:lang w:val="ru-RU"/>
    </w:rPr>
  </w:style>
  <w:style w:type="character" w:styleId="Style18" w:customStyle="1">
    <w:name w:val="Текст примітки Знак"/>
    <w:qFormat/>
    <w:rPr>
      <w:lang w:val="ru-RU"/>
    </w:rPr>
  </w:style>
  <w:style w:type="character" w:styleId="-" w:customStyle="1">
    <w:name w:val="Интернет-ссылка"/>
    <w:qFormat/>
    <w:rPr>
      <w:color w:val="0000FF"/>
      <w:u w:val="single"/>
    </w:rPr>
  </w:style>
  <w:style w:type="character" w:styleId="user" w:customStyle="1">
    <w:name w:val="Символи виноски (user)"/>
    <w:qFormat/>
    <w:rPr>
      <w:rFonts w:cs="Times New Roman"/>
      <w:vertAlign w:val="superscript"/>
    </w:rPr>
  </w:style>
  <w:style w:type="character" w:styleId="Style19" w:customStyle="1">
    <w:name w:val="Основний текст Знак"/>
    <w:qFormat/>
    <w:rPr>
      <w:b/>
      <w:bCs/>
      <w:sz w:val="36"/>
      <w:szCs w:val="24"/>
      <w:lang w:val="uk-UA" w:bidi="ar-SA"/>
    </w:rPr>
  </w:style>
  <w:style w:type="character" w:styleId="BodyTextIndent2Char" w:customStyle="1">
    <w:name w:val="Body Text Indent 2 Char"/>
    <w:qFormat/>
    <w:rPr>
      <w:rFonts w:cs="Times New Roman"/>
      <w:sz w:val="24"/>
      <w:lang w:val="uk-UA"/>
    </w:rPr>
  </w:style>
  <w:style w:type="character" w:styleId="Style20" w:customStyle="1">
    <w:name w:val="Абзац списку Знак"/>
    <w:uiPriority w:val="1"/>
    <w:qFormat/>
    <w:rPr>
      <w:sz w:val="24"/>
      <w:szCs w:val="24"/>
    </w:rPr>
  </w:style>
  <w:style w:type="character" w:styleId="Hyperlink">
    <w:name w:val="Hyperlink"/>
    <w:basedOn w:val="DefaultParagraphFont"/>
    <w:uiPriority w:val="99"/>
    <w:unhideWhenUsed/>
    <w:rsid w:val="00ae4077"/>
    <w:rPr>
      <w:color w:themeColor="hyperlink" w:val="0000EE"/>
      <w:u w:val="single"/>
    </w:rPr>
  </w:style>
  <w:style w:type="character" w:styleId="UnresolvedMention">
    <w:name w:val="Unresolved Mention"/>
    <w:basedOn w:val="DefaultParagraphFont"/>
    <w:uiPriority w:val="99"/>
    <w:semiHidden/>
    <w:unhideWhenUsed/>
    <w:qFormat/>
    <w:rsid w:val="00ae4077"/>
    <w:rPr>
      <w:color w:val="605E5C"/>
      <w:shd w:fill="E1DFDD" w:val="clear"/>
    </w:rPr>
  </w:style>
  <w:style w:type="paragraph" w:styleId="Style21">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jc w:val="center"/>
    </w:pPr>
    <w:rPr>
      <w:b/>
      <w:bCs/>
      <w:sz w:val="36"/>
      <w:lang w:val="uk-UA"/>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rPr>
  </w:style>
  <w:style w:type="paragraph" w:styleId="Style22">
    <w:name w:val="Покажчик"/>
    <w:basedOn w:val="Normal"/>
    <w:qFormat/>
    <w:pPr>
      <w:suppressLineNumbers/>
    </w:pPr>
    <w:rPr>
      <w:rFonts w:cs="Lucida Sans"/>
    </w:rPr>
  </w:style>
  <w:style w:type="paragraph" w:styleId="Title">
    <w:name w:val="Title"/>
    <w:basedOn w:val="Normal"/>
    <w:next w:val="BodyText"/>
    <w:qFormat/>
    <w:pPr>
      <w:keepNext w:val="true"/>
      <w:spacing w:before="240" w:after="120"/>
    </w:pPr>
    <w:rPr>
      <w:rFonts w:ascii="Liberation Sans" w:hAnsi="Liberation Sans" w:eastAsia="Microsoft YaHei" w:cs="Lucida Sans"/>
      <w:sz w:val="28"/>
      <w:szCs w:val="28"/>
    </w:rPr>
  </w:style>
  <w:style w:type="paragraph" w:styleId="user1" w:customStyle="1">
    <w:name w:val="Покажчик (user)"/>
    <w:basedOn w:val="Normal"/>
    <w:qFormat/>
    <w:pPr>
      <w:suppressLineNumbers/>
    </w:pPr>
    <w:rPr>
      <w:rFonts w:cs="Lucida Sans"/>
    </w:rPr>
  </w:style>
  <w:style w:type="paragraph" w:styleId="11" w:customStyle="1">
    <w:name w:val="Заголовок1"/>
    <w:basedOn w:val="Normal"/>
    <w:next w:val="BodyText"/>
    <w:qFormat/>
    <w:pPr>
      <w:keepNext w:val="true"/>
      <w:spacing w:before="240" w:after="120"/>
    </w:pPr>
    <w:rPr>
      <w:rFonts w:ascii="Liberation Sans" w:hAnsi="Liberation Sans" w:eastAsia="Microsoft YaHei" w:cs="Lucida Sans"/>
      <w:sz w:val="28"/>
      <w:szCs w:val="28"/>
    </w:rPr>
  </w:style>
  <w:style w:type="paragraph" w:styleId="caption1" w:customStyle="1">
    <w:name w:val="caption1"/>
    <w:basedOn w:val="Normal"/>
    <w:qFormat/>
    <w:pPr>
      <w:suppressLineNumbers/>
      <w:spacing w:before="120" w:after="120"/>
    </w:pPr>
    <w:rPr>
      <w:rFonts w:cs="Lucida Sans"/>
      <w:i/>
      <w:iCs/>
    </w:rPr>
  </w:style>
  <w:style w:type="paragraph" w:styleId="IndexHeading">
    <w:name w:val="index heading"/>
    <w:basedOn w:val="Normal"/>
    <w:qFormat/>
    <w:pPr>
      <w:suppressLineNumbers/>
    </w:pPr>
    <w:rPr>
      <w:rFonts w:cs="Arial"/>
    </w:rPr>
  </w:style>
  <w:style w:type="paragraph" w:styleId="caption11" w:customStyle="1">
    <w:name w:val="caption11"/>
    <w:basedOn w:val="Normal"/>
    <w:qFormat/>
    <w:pPr>
      <w:suppressLineNumbers/>
      <w:spacing w:before="120" w:after="120"/>
    </w:pPr>
    <w:rPr>
      <w:rFonts w:cs="Lucida Sans"/>
      <w:i/>
      <w:iCs/>
    </w:rPr>
  </w:style>
  <w:style w:type="paragraph" w:styleId="caption111" w:customStyle="1">
    <w:name w:val="caption111"/>
    <w:basedOn w:val="Normal"/>
    <w:qFormat/>
    <w:pPr>
      <w:suppressLineNumbers/>
      <w:spacing w:before="120" w:after="120"/>
    </w:pPr>
    <w:rPr>
      <w:rFonts w:cs="Lucida Sans"/>
      <w:i/>
      <w:iCs/>
    </w:rPr>
  </w:style>
  <w:style w:type="paragraph" w:styleId="BodyTextIndent2">
    <w:name w:val="Body Text Indent 2"/>
    <w:basedOn w:val="Normal"/>
    <w:uiPriority w:val="99"/>
    <w:qFormat/>
    <w:pPr>
      <w:ind w:firstLine="540"/>
      <w:jc w:val="both"/>
    </w:pPr>
    <w:rPr>
      <w:lang w:val="uk-UA"/>
    </w:rPr>
  </w:style>
  <w:style w:type="paragraph" w:styleId="BodyText2">
    <w:name w:val="Body Text 2"/>
    <w:basedOn w:val="Normal"/>
    <w:qFormat/>
    <w:pPr>
      <w:widowControl w:val="false"/>
      <w:spacing w:lineRule="auto" w:line="276"/>
      <w:jc w:val="both"/>
    </w:pPr>
    <w:rPr>
      <w:sz w:val="22"/>
      <w:szCs w:val="20"/>
    </w:rPr>
  </w:style>
  <w:style w:type="paragraph" w:styleId="caption1111" w:customStyle="1">
    <w:name w:val="caption1111"/>
    <w:basedOn w:val="Normal"/>
    <w:next w:val="Normal"/>
    <w:qFormat/>
    <w:pPr>
      <w:jc w:val="center"/>
    </w:pPr>
    <w:rPr>
      <w:b/>
      <w:sz w:val="32"/>
      <w:szCs w:val="20"/>
      <w:lang w:val="uk-UA"/>
    </w:rPr>
  </w:style>
  <w:style w:type="paragraph" w:styleId="BodyTextIndent">
    <w:name w:val="Body Text Indent"/>
    <w:basedOn w:val="Normal"/>
    <w:pPr>
      <w:ind w:firstLine="540"/>
      <w:jc w:val="both"/>
    </w:pPr>
    <w:rPr>
      <w:sz w:val="28"/>
      <w:lang w:val="uk-UA"/>
    </w:rPr>
  </w:style>
  <w:style w:type="paragraph" w:styleId="user2" w:customStyle="1">
    <w:name w:val="Верхній і нижній колонтитули (user)"/>
    <w:basedOn w:val="Normal"/>
    <w:qFormat/>
    <w:pPr>
      <w:suppressLineNumbers/>
      <w:tabs>
        <w:tab w:val="clear" w:pos="720"/>
        <w:tab w:val="center" w:pos="4819" w:leader="none"/>
        <w:tab w:val="right" w:pos="9638" w:leader="none"/>
      </w:tabs>
    </w:pPr>
    <w:rPr/>
  </w:style>
  <w:style w:type="paragraph" w:styleId="Style23" w:customStyle="1">
    <w:name w:val="Верхний и нижний колонтитулы"/>
    <w:basedOn w:val="Normal"/>
    <w:qFormat/>
    <w:pPr/>
    <w:rPr/>
  </w:style>
  <w:style w:type="paragraph" w:styleId="Style24">
    <w:name w:val="Верхній і нижній колонтитули"/>
    <w:basedOn w:val="Normal"/>
    <w:qFormat/>
    <w:pPr/>
    <w:rPr/>
  </w:style>
  <w:style w:type="paragraph" w:styleId="Footer">
    <w:name w:val="footer"/>
    <w:basedOn w:val="Normal"/>
    <w:pPr>
      <w:tabs>
        <w:tab w:val="clear" w:pos="720"/>
        <w:tab w:val="center" w:pos="4677" w:leader="none"/>
        <w:tab w:val="right" w:pos="9355" w:leader="none"/>
      </w:tabs>
    </w:pPr>
    <w:rPr/>
  </w:style>
  <w:style w:type="paragraph" w:styleId="Header">
    <w:name w:val="header"/>
    <w:basedOn w:val="Normal"/>
    <w:pPr>
      <w:tabs>
        <w:tab w:val="clear" w:pos="720"/>
        <w:tab w:val="center" w:pos="4153" w:leader="none"/>
        <w:tab w:val="right" w:pos="8306" w:leader="none"/>
      </w:tabs>
    </w:pPr>
    <w:rPr>
      <w:sz w:val="20"/>
      <w:szCs w:val="20"/>
    </w:rPr>
  </w:style>
  <w:style w:type="paragraph" w:styleId="BalloonText">
    <w:name w:val="Balloon Text"/>
    <w:basedOn w:val="Normal"/>
    <w:qFormat/>
    <w:pPr/>
    <w:rPr>
      <w:rFonts w:ascii="Tahoma" w:hAnsi="Tahoma" w:cs="Tahoma"/>
      <w:sz w:val="16"/>
      <w:szCs w:val="16"/>
    </w:rPr>
  </w:style>
  <w:style w:type="paragraph" w:styleId="CommentText">
    <w:name w:val="annotation text"/>
    <w:basedOn w:val="Normal"/>
    <w:qFormat/>
    <w:pPr/>
    <w:rPr>
      <w:sz w:val="20"/>
      <w:szCs w:val="20"/>
    </w:rPr>
  </w:style>
  <w:style w:type="paragraph" w:styleId="Style25" w:customStyle="1">
    <w:name w:val="Знак Знак Знак Знак Знак Знак Знак"/>
    <w:basedOn w:val="Normal"/>
    <w:qFormat/>
    <w:pPr/>
    <w:rPr>
      <w:rFonts w:ascii="Verdana" w:hAnsi="Verdana" w:cs="Verdana"/>
      <w:sz w:val="20"/>
      <w:szCs w:val="20"/>
      <w:lang w:val="en-US"/>
    </w:rPr>
  </w:style>
  <w:style w:type="paragraph" w:styleId="Style26" w:customStyle="1">
    <w:name w:val="Знак Знак"/>
    <w:basedOn w:val="Normal"/>
    <w:qFormat/>
    <w:pPr/>
    <w:rPr>
      <w:rFonts w:ascii="Verdana" w:hAnsi="Verdana" w:cs="Verdana"/>
      <w:sz w:val="20"/>
      <w:szCs w:val="20"/>
      <w:lang w:val="en-US"/>
    </w:rPr>
  </w:style>
  <w:style w:type="paragraph" w:styleId="12" w:customStyle="1">
    <w:name w:val="Знак1"/>
    <w:basedOn w:val="Normal"/>
    <w:qFormat/>
    <w:pPr>
      <w:tabs>
        <w:tab w:val="left" w:pos="720" w:leader="none"/>
      </w:tabs>
      <w:spacing w:lineRule="exact" w:line="240" w:before="0" w:after="160"/>
      <w:ind w:hanging="720" w:start="720"/>
      <w:jc w:val="both"/>
    </w:pPr>
    <w:rPr>
      <w:rFonts w:ascii="Verdana" w:hAnsi="Verdana" w:cs="Verdana"/>
      <w:sz w:val="20"/>
      <w:szCs w:val="20"/>
      <w:lang w:val="en-US"/>
    </w:rPr>
  </w:style>
  <w:style w:type="paragraph" w:styleId="ListParagraph">
    <w:name w:val="List Paragraph"/>
    <w:basedOn w:val="Normal"/>
    <w:uiPriority w:val="1"/>
    <w:qFormat/>
    <w:pPr>
      <w:spacing w:before="0" w:after="0"/>
      <w:ind w:start="720"/>
      <w:contextualSpacing/>
    </w:pPr>
    <w:rPr>
      <w:lang w:val="uk-UA"/>
    </w:rPr>
  </w:style>
  <w:style w:type="paragraph" w:styleId="user3" w:customStyle="1">
    <w:name w:val="Вміст таблиці (user)"/>
    <w:basedOn w:val="Normal"/>
    <w:qFormat/>
    <w:pPr>
      <w:widowControl w:val="false"/>
      <w:suppressLineNumbers/>
    </w:pPr>
    <w:rPr/>
  </w:style>
  <w:style w:type="paragraph" w:styleId="user4" w:customStyle="1">
    <w:name w:val="Заголовок таблиці (user)"/>
    <w:basedOn w:val="user3"/>
    <w:qFormat/>
    <w:pPr>
      <w:jc w:val="center"/>
    </w:pPr>
    <w:rPr>
      <w:b/>
      <w:bCs/>
    </w:rPr>
  </w:style>
  <w:style w:type="paragraph" w:styleId="PartyName" w:customStyle="1">
    <w:name w:val="PartyName"/>
    <w:basedOn w:val="Normal"/>
    <w:uiPriority w:val="8"/>
    <w:semiHidden/>
    <w:qFormat/>
    <w:rsid w:val="00d46d8b"/>
    <w:pPr>
      <w:suppressAutoHyphens w:val="false"/>
      <w:jc w:val="center"/>
    </w:pPr>
    <w:rPr>
      <w:rFonts w:ascii="Calibri" w:hAnsi="Calibri"/>
      <w:b/>
      <w:bCs/>
      <w:caps/>
      <w:sz w:val="22"/>
      <w:szCs w:val="28"/>
      <w:lang w:val="uk-UA"/>
    </w:rPr>
  </w:style>
  <w:style w:type="paragraph" w:styleId="rvps2" w:customStyle="1">
    <w:name w:val="rvps2"/>
    <w:basedOn w:val="Normal"/>
    <w:qFormat/>
    <w:rsid w:val="00d46d8b"/>
    <w:pPr>
      <w:suppressAutoHyphens w:val="false"/>
      <w:spacing w:beforeAutospacing="1" w:afterAutospacing="1"/>
    </w:pPr>
    <w:rPr>
      <w:lang w:eastAsia="ru-RU"/>
    </w:rPr>
  </w:style>
  <w:style w:type="numbering" w:styleId="Style27" w:default="1">
    <w:name w:val="Без маркерів"/>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numbering" w:styleId="WW8Num15" w:customStyle="1">
    <w:name w:val="WW8Num15"/>
    <w:qFormat/>
  </w:style>
  <w:style w:type="numbering" w:styleId="WW8Num16" w:customStyle="1">
    <w:name w:val="WW8Num16"/>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LibreOffice/25.8.2.2$Windows_X86_64 LibreOffice_project/d401f2107ccab8f924a8e2df40f573aab7605b6f</Application>
  <AppVersion>15.0000</AppVersion>
  <Pages>3</Pages>
  <Words>622</Words>
  <Characters>4024</Characters>
  <CharactersWithSpaces>4589</CharactersWithSpaces>
  <Paragraphs>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2024-06-17T12:36:00Z</dcterms:created>
  <dc:creator>ekorol</dc:creator>
  <dc:description/>
  <dc:language>uk-UA</dc:language>
  <cp:lastModifiedBy/>
  <cp:lastPrinted>2024-10-15T10:15:26Z</cp:lastPrinted>
  <dcterms:modified xsi:type="dcterms:W3CDTF">2025-11-13T14:58:06Z</dcterms:modified>
  <cp:revision>27</cp:revision>
  <dc:subject/>
  <dc:title>Кредитування об’єднань співвласників багатоквартирних будинків та житлово-будівельних кооперативів</dc:title>
</cp:coreProperties>
</file>

<file path=docProps/custom.xml><?xml version="1.0" encoding="utf-8"?>
<Properties xmlns="http://schemas.openxmlformats.org/officeDocument/2006/custom-properties" xmlns:vt="http://schemas.openxmlformats.org/officeDocument/2006/docPropsVTypes"/>
</file>