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F23CB" w:rsidRPr="007F23CB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 (ДК 021:2015 - 45230000-8 - Будівництво трубопроводів, ліній зв’язку та </w:t>
      </w:r>
      <w:proofErr w:type="spellStart"/>
      <w:r w:rsidR="007F23CB" w:rsidRPr="007F23CB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7F23CB" w:rsidRPr="007F23CB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магістральних, прибудинкових та внутріквартальних доріг та тротуарів на території Галицького району м. Львова.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4C1D9D" w:rsidRPr="004C1D9D">
        <w:rPr>
          <w:rFonts w:ascii="Arial" w:hAnsi="Arial" w:cs="Arial"/>
          <w:b/>
          <w:sz w:val="24"/>
          <w:szCs w:val="24"/>
        </w:rPr>
        <w:t>UA-2021-06-24-004823-b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1397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53</cp:revision>
  <dcterms:created xsi:type="dcterms:W3CDTF">2020-12-29T12:14:00Z</dcterms:created>
  <dcterms:modified xsi:type="dcterms:W3CDTF">2021-06-25T06:44:00Z</dcterms:modified>
</cp:coreProperties>
</file>