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37205E">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37205E">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018F96D2" w14:textId="77777777" w:rsidR="0037205E" w:rsidRPr="0037205E" w:rsidRDefault="0037205E" w:rsidP="0037205E">
      <w:pPr>
        <w:tabs>
          <w:tab w:val="left" w:pos="284"/>
          <w:tab w:val="left" w:pos="426"/>
        </w:tabs>
        <w:spacing w:after="0" w:line="240" w:lineRule="auto"/>
        <w:jc w:val="both"/>
        <w:rPr>
          <w:rFonts w:ascii="Times New Roman" w:eastAsia="Times New Roman" w:hAnsi="Times New Roman" w:cs="Times New Roman"/>
          <w:i/>
          <w:lang w:eastAsia="uk-UA"/>
        </w:rPr>
      </w:pPr>
      <w:r w:rsidRPr="0037205E">
        <w:rPr>
          <w:rFonts w:ascii="Times New Roman" w:eastAsia="Times New Roman" w:hAnsi="Times New Roman"/>
          <w:i/>
          <w:lang w:eastAsia="ru-RU"/>
        </w:rPr>
        <w:t>Закупівля вуличних меблів. ДК 021:2015-34920000-2 Дорожнє обладнання (ДК 021:2015 34928480-6 Контейнери та урни для відходів і сміття; ДК 021:2015 34928400-2 Міські вуличні меблі)</w:t>
      </w:r>
    </w:p>
    <w:p w14:paraId="2025E5FF" w14:textId="77777777" w:rsidR="00094FB6" w:rsidRPr="00094FB6" w:rsidRDefault="00BE2468" w:rsidP="00094FB6">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492E5C">
        <w:rPr>
          <w:rFonts w:ascii="Times New Roman" w:eastAsia="Times New Roman" w:hAnsi="Times New Roman" w:cs="Times New Roman"/>
          <w:b/>
          <w:lang w:eastAsia="ru-RU"/>
        </w:rPr>
        <w:t>Ідентифікатор та в</w:t>
      </w:r>
      <w:r w:rsidR="00DD3631" w:rsidRPr="00492E5C">
        <w:rPr>
          <w:rFonts w:ascii="Times New Roman" w:eastAsia="Times New Roman" w:hAnsi="Times New Roman" w:cs="Times New Roman"/>
          <w:b/>
          <w:lang w:eastAsia="ru-RU"/>
        </w:rPr>
        <w:t xml:space="preserve">ид процедури </w:t>
      </w:r>
      <w:r w:rsidR="00502670" w:rsidRPr="00492E5C">
        <w:rPr>
          <w:rFonts w:ascii="Times New Roman" w:eastAsia="Times New Roman" w:hAnsi="Times New Roman" w:cs="Times New Roman"/>
          <w:b/>
          <w:lang w:eastAsia="ru-RU"/>
        </w:rPr>
        <w:t xml:space="preserve">закупівлі: </w:t>
      </w:r>
    </w:p>
    <w:p w14:paraId="2D7A3CBB" w14:textId="223F5110" w:rsidR="00492E5C" w:rsidRPr="00094FB6" w:rsidRDefault="00142E9F" w:rsidP="00094FB6">
      <w:pPr>
        <w:tabs>
          <w:tab w:val="left" w:pos="284"/>
          <w:tab w:val="left" w:pos="426"/>
        </w:tabs>
        <w:spacing w:after="0" w:line="240" w:lineRule="auto"/>
        <w:jc w:val="both"/>
        <w:rPr>
          <w:rFonts w:ascii="Times New Roman" w:eastAsia="Times New Roman" w:hAnsi="Times New Roman" w:cs="Times New Roman"/>
          <w:i/>
          <w:lang w:eastAsia="uk-UA"/>
        </w:rPr>
      </w:pPr>
      <w:hyperlink r:id="rId7" w:tgtFrame="_blank" w:tooltip="Оголошення на порталі Уповноваженого органу" w:history="1">
        <w:r w:rsidR="00094FB6" w:rsidRPr="00094FB6">
          <w:rPr>
            <w:rFonts w:ascii="Times New Roman" w:eastAsia="Times New Roman" w:hAnsi="Times New Roman" w:cs="Times New Roman"/>
            <w:i/>
            <w:lang w:eastAsia="uk-UA"/>
          </w:rPr>
          <w:t>UA-2021-07-15-002384-c</w:t>
        </w:r>
      </w:hyperlink>
    </w:p>
    <w:p w14:paraId="4578AB2C" w14:textId="77777777" w:rsidR="00A74924" w:rsidRPr="00232AC8" w:rsidRDefault="00DD3265" w:rsidP="0037205E">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37205E">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237A2CDE" w:rsidR="0037205E" w:rsidRPr="00232AC8" w:rsidRDefault="004A4247" w:rsidP="00DB4476">
      <w:pPr>
        <w:pStyle w:val="a3"/>
        <w:tabs>
          <w:tab w:val="left" w:pos="284"/>
          <w:tab w:val="left" w:pos="851"/>
        </w:tabs>
        <w:spacing w:after="0" w:line="240" w:lineRule="auto"/>
        <w:ind w:left="0" w:firstLine="567"/>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1 642 158.00 грн. (О</w:t>
      </w:r>
      <w:r w:rsidR="0037205E" w:rsidRPr="00232AC8">
        <w:rPr>
          <w:rFonts w:ascii="Times New Roman" w:eastAsia="Times New Roman" w:hAnsi="Times New Roman" w:cs="Times New Roman"/>
          <w:i/>
          <w:lang w:eastAsia="ru-RU"/>
        </w:rPr>
        <w:t>дин мільйон шістсот сорок дві тисячі сто п’ятдесят вісім грн.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p>
    <w:p w14:paraId="4594669C" w14:textId="6D39DFFA" w:rsidR="00D66107" w:rsidRPr="00232AC8" w:rsidRDefault="00D66107" w:rsidP="00DB4476">
      <w:pPr>
        <w:spacing w:after="0" w:line="240" w:lineRule="auto"/>
        <w:ind w:firstLine="567"/>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для забезпечення парків враховуючи показники минулих років та на підставі цін попередніх власних </w:t>
      </w:r>
      <w:proofErr w:type="spellStart"/>
      <w:r w:rsidRPr="00232AC8">
        <w:rPr>
          <w:rFonts w:ascii="Times New Roman" w:eastAsia="Times New Roman" w:hAnsi="Times New Roman" w:cs="Times New Roman"/>
          <w:i/>
          <w:lang w:eastAsia="ru-RU"/>
        </w:rPr>
        <w:t>закупівель</w:t>
      </w:r>
      <w:proofErr w:type="spellEnd"/>
      <w:r w:rsidRPr="00232AC8">
        <w:rPr>
          <w:rFonts w:ascii="Times New Roman" w:eastAsia="Times New Roman" w:hAnsi="Times New Roman" w:cs="Times New Roman"/>
          <w:i/>
          <w:lang w:eastAsia="ru-RU"/>
        </w:rPr>
        <w:t xml:space="preserve">. </w:t>
      </w:r>
    </w:p>
    <w:p w14:paraId="5F286280" w14:textId="31337775" w:rsidR="00B2681C" w:rsidRPr="00232AC8" w:rsidRDefault="00B2681C" w:rsidP="00DB4476">
      <w:pPr>
        <w:spacing w:after="0" w:line="240" w:lineRule="auto"/>
        <w:ind w:firstLine="567"/>
        <w:jc w:val="both"/>
        <w:textAlignment w:val="baseline"/>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Т</w:t>
      </w:r>
      <w:r w:rsidR="00D66107" w:rsidRPr="00232AC8">
        <w:rPr>
          <w:rFonts w:ascii="Times New Roman" w:eastAsia="Times New Roman" w:hAnsi="Times New Roman" w:cs="Times New Roman"/>
          <w:i/>
          <w:lang w:eastAsia="ru-RU"/>
        </w:rPr>
        <w:t>акож</w:t>
      </w:r>
      <w:r w:rsidRPr="00232AC8">
        <w:rPr>
          <w:rFonts w:ascii="Times New Roman" w:eastAsia="Times New Roman" w:hAnsi="Times New Roman" w:cs="Times New Roman"/>
          <w:i/>
          <w:lang w:eastAsia="ru-RU"/>
        </w:rPr>
        <w:t>, Замовником</w:t>
      </w:r>
      <w:r w:rsidR="00D66107" w:rsidRPr="00232AC8">
        <w:rPr>
          <w:rFonts w:ascii="Times New Roman" w:eastAsia="Times New Roman" w:hAnsi="Times New Roman" w:cs="Times New Roman"/>
          <w:i/>
          <w:lang w:eastAsia="ru-RU"/>
        </w:rPr>
        <w:t xml:space="preserve"> здійсне</w:t>
      </w:r>
      <w:r w:rsidRPr="00232AC8">
        <w:rPr>
          <w:rFonts w:ascii="Times New Roman" w:eastAsia="Times New Roman" w:hAnsi="Times New Roman" w:cs="Times New Roman"/>
          <w:i/>
          <w:lang w:eastAsia="ru-RU"/>
        </w:rPr>
        <w:t xml:space="preserve">но </w:t>
      </w:r>
      <w:r w:rsidR="00D66107" w:rsidRPr="00232AC8">
        <w:rPr>
          <w:rFonts w:ascii="Times New Roman" w:eastAsia="Times New Roman" w:hAnsi="Times New Roman" w:cs="Times New Roman"/>
          <w:i/>
          <w:lang w:eastAsia="ru-RU"/>
        </w:rPr>
        <w:t xml:space="preserve">аналіз загальнодоступної цінової інформації та </w:t>
      </w:r>
      <w:r w:rsidRPr="00232AC8">
        <w:rPr>
          <w:rFonts w:ascii="Times New Roman" w:eastAsia="Times New Roman" w:hAnsi="Times New Roman" w:cs="Times New Roman"/>
          <w:i/>
          <w:lang w:eastAsia="ru-RU"/>
        </w:rPr>
        <w:t>надіслано 3 письмові запити цінових пропозицій</w:t>
      </w:r>
      <w:r w:rsidR="004A4247" w:rsidRPr="00232AC8">
        <w:rPr>
          <w:rFonts w:ascii="Times New Roman" w:eastAsia="Times New Roman" w:hAnsi="Times New Roman" w:cs="Times New Roman"/>
          <w:i/>
          <w:lang w:eastAsia="ru-RU"/>
        </w:rPr>
        <w:t xml:space="preserve"> до учасників, які брали участь у закупівлі, яка проводилася управлінням у 2020 році.</w:t>
      </w:r>
    </w:p>
    <w:p w14:paraId="5BE16036" w14:textId="33A0959D" w:rsidR="004A4247" w:rsidRPr="00232AC8" w:rsidRDefault="00356870" w:rsidP="00DB4476">
      <w:pPr>
        <w:spacing w:after="0" w:line="240" w:lineRule="auto"/>
        <w:ind w:firstLine="567"/>
        <w:jc w:val="both"/>
        <w:textAlignment w:val="baseline"/>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На під</w:t>
      </w:r>
      <w:r w:rsidR="004A4247" w:rsidRPr="00232AC8">
        <w:rPr>
          <w:rFonts w:ascii="Times New Roman" w:eastAsia="Times New Roman" w:hAnsi="Times New Roman" w:cs="Times New Roman"/>
          <w:i/>
          <w:lang w:eastAsia="ru-RU"/>
        </w:rPr>
        <w:t>ставі отриманих даних та враховуючи Примірну  методику визначення очікуваної вартості предмета закупівлі, затверджену Наказом Міністерства розвитку економіки, торгівлі та сільського</w:t>
      </w:r>
      <w:r w:rsidR="004A4247" w:rsidRPr="00232AC8">
        <w:rPr>
          <w:rFonts w:ascii="Times New Roman" w:eastAsia="Times New Roman" w:hAnsi="Times New Roman" w:cs="Times New Roman"/>
          <w:i/>
          <w:lang w:eastAsia="ru-RU"/>
        </w:rPr>
        <w:br/>
        <w:t>господарства України 18.02.2020  № 275, визначено очікувану ціну за одиницю, як середньоарифметичне значення масиву отриманих даних, що розраховується за такою формулою:</w:t>
      </w:r>
    </w:p>
    <w:p w14:paraId="7034D32D" w14:textId="77777777" w:rsidR="004A4247" w:rsidRPr="00232AC8" w:rsidRDefault="004A4247" w:rsidP="00DB4476">
      <w:pPr>
        <w:shd w:val="clear" w:color="auto" w:fill="FFFFFF"/>
        <w:spacing w:after="0" w:line="240" w:lineRule="auto"/>
        <w:rPr>
          <w:rFonts w:ascii="Times New Roman" w:eastAsia="Times New Roman" w:hAnsi="Times New Roman" w:cs="Times New Roman"/>
          <w:i/>
          <w:color w:val="333333"/>
          <w:lang w:eastAsia="uk-UA"/>
        </w:rPr>
      </w:pPr>
      <w:bookmarkStart w:id="1" w:name="n60"/>
      <w:bookmarkEnd w:id="1"/>
      <w:proofErr w:type="spellStart"/>
      <w:r w:rsidRPr="00232AC8">
        <w:rPr>
          <w:rFonts w:ascii="Times New Roman" w:eastAsia="Times New Roman" w:hAnsi="Times New Roman" w:cs="Times New Roman"/>
          <w:b/>
          <w:bCs/>
          <w:i/>
          <w:color w:val="333333"/>
          <w:lang w:eastAsia="uk-UA"/>
        </w:rPr>
        <w:t>Ц</w:t>
      </w:r>
      <w:r w:rsidRPr="00232AC8">
        <w:rPr>
          <w:rFonts w:ascii="Times New Roman" w:eastAsia="Times New Roman" w:hAnsi="Times New Roman" w:cs="Times New Roman"/>
          <w:b/>
          <w:bCs/>
          <w:i/>
          <w:color w:val="333333"/>
          <w:vertAlign w:val="subscript"/>
          <w:lang w:eastAsia="uk-UA"/>
        </w:rPr>
        <w:t>од</w:t>
      </w:r>
      <w:proofErr w:type="spellEnd"/>
      <w:r w:rsidRPr="00232AC8">
        <w:rPr>
          <w:rFonts w:ascii="Times New Roman" w:eastAsia="Times New Roman" w:hAnsi="Times New Roman" w:cs="Times New Roman"/>
          <w:i/>
          <w:color w:val="333333"/>
          <w:lang w:eastAsia="uk-UA"/>
        </w:rPr>
        <w:t> </w:t>
      </w:r>
      <w:r w:rsidRPr="00232AC8">
        <w:rPr>
          <w:rFonts w:ascii="Times New Roman" w:eastAsia="Times New Roman" w:hAnsi="Times New Roman" w:cs="Times New Roman"/>
          <w:b/>
          <w:bCs/>
          <w:i/>
          <w:color w:val="333333"/>
          <w:lang w:eastAsia="uk-UA"/>
        </w:rPr>
        <w:t>= (Ц</w:t>
      </w:r>
      <w:r w:rsidRPr="00232AC8">
        <w:rPr>
          <w:rFonts w:ascii="Times New Roman" w:eastAsia="Times New Roman" w:hAnsi="Times New Roman" w:cs="Times New Roman"/>
          <w:b/>
          <w:bCs/>
          <w:i/>
          <w:color w:val="333333"/>
          <w:vertAlign w:val="subscript"/>
          <w:lang w:eastAsia="uk-UA"/>
        </w:rPr>
        <w:t>1</w:t>
      </w:r>
      <w:r w:rsidRPr="00232AC8">
        <w:rPr>
          <w:rFonts w:ascii="Times New Roman" w:eastAsia="Times New Roman" w:hAnsi="Times New Roman" w:cs="Times New Roman"/>
          <w:i/>
          <w:color w:val="333333"/>
          <w:lang w:eastAsia="uk-UA"/>
        </w:rPr>
        <w:t> </w:t>
      </w:r>
      <w:r w:rsidRPr="00232AC8">
        <w:rPr>
          <w:rFonts w:ascii="Times New Roman" w:eastAsia="Times New Roman" w:hAnsi="Times New Roman" w:cs="Times New Roman"/>
          <w:b/>
          <w:bCs/>
          <w:i/>
          <w:color w:val="333333"/>
          <w:lang w:eastAsia="uk-UA"/>
        </w:rPr>
        <w:t xml:space="preserve">+… + </w:t>
      </w:r>
      <w:proofErr w:type="spellStart"/>
      <w:r w:rsidRPr="00232AC8">
        <w:rPr>
          <w:rFonts w:ascii="Times New Roman" w:eastAsia="Times New Roman" w:hAnsi="Times New Roman" w:cs="Times New Roman"/>
          <w:b/>
          <w:bCs/>
          <w:i/>
          <w:color w:val="333333"/>
          <w:lang w:eastAsia="uk-UA"/>
        </w:rPr>
        <w:t>Ц</w:t>
      </w:r>
      <w:r w:rsidRPr="00232AC8">
        <w:rPr>
          <w:rFonts w:ascii="Times New Roman" w:eastAsia="Times New Roman" w:hAnsi="Times New Roman" w:cs="Times New Roman"/>
          <w:b/>
          <w:bCs/>
          <w:i/>
          <w:color w:val="333333"/>
          <w:vertAlign w:val="subscript"/>
          <w:lang w:eastAsia="uk-UA"/>
        </w:rPr>
        <w:t>к</w:t>
      </w:r>
      <w:proofErr w:type="spellEnd"/>
      <w:r w:rsidRPr="00232AC8">
        <w:rPr>
          <w:rFonts w:ascii="Times New Roman" w:eastAsia="Times New Roman" w:hAnsi="Times New Roman" w:cs="Times New Roman"/>
          <w:b/>
          <w:bCs/>
          <w:i/>
          <w:color w:val="333333"/>
          <w:lang w:eastAsia="uk-UA"/>
        </w:rPr>
        <w:t>) / К,</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4"/>
        <w:gridCol w:w="815"/>
        <w:gridCol w:w="164"/>
        <w:gridCol w:w="8600"/>
      </w:tblGrid>
      <w:tr w:rsidR="004A4247" w:rsidRPr="004A4247" w14:paraId="1F161D60" w14:textId="77777777" w:rsidTr="004A4247">
        <w:tc>
          <w:tcPr>
            <w:tcW w:w="345" w:type="dxa"/>
            <w:tcBorders>
              <w:top w:val="nil"/>
              <w:left w:val="nil"/>
              <w:bottom w:val="nil"/>
              <w:right w:val="nil"/>
            </w:tcBorders>
            <w:hideMark/>
          </w:tcPr>
          <w:p w14:paraId="35966434"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bookmarkStart w:id="2" w:name="n61"/>
            <w:bookmarkEnd w:id="2"/>
            <w:r w:rsidRPr="004A4247">
              <w:rPr>
                <w:rFonts w:ascii="Times New Roman" w:eastAsia="Times New Roman" w:hAnsi="Times New Roman" w:cs="Times New Roman"/>
                <w:i/>
                <w:sz w:val="24"/>
                <w:szCs w:val="24"/>
                <w:lang w:eastAsia="uk-UA"/>
              </w:rPr>
              <w:t>де:</w:t>
            </w:r>
          </w:p>
        </w:tc>
        <w:tc>
          <w:tcPr>
            <w:tcW w:w="960" w:type="dxa"/>
            <w:tcBorders>
              <w:top w:val="nil"/>
              <w:left w:val="nil"/>
              <w:bottom w:val="nil"/>
              <w:right w:val="nil"/>
            </w:tcBorders>
            <w:hideMark/>
          </w:tcPr>
          <w:p w14:paraId="658EE64C"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proofErr w:type="spellStart"/>
            <w:r w:rsidRPr="004A4247">
              <w:rPr>
                <w:rFonts w:ascii="Times New Roman" w:eastAsia="Times New Roman" w:hAnsi="Times New Roman" w:cs="Times New Roman"/>
                <w:b/>
                <w:bCs/>
                <w:i/>
                <w:sz w:val="24"/>
                <w:szCs w:val="24"/>
                <w:lang w:eastAsia="uk-UA"/>
              </w:rPr>
              <w:t>Ц</w:t>
            </w:r>
            <w:r w:rsidRPr="004A4247">
              <w:rPr>
                <w:rFonts w:ascii="Times New Roman" w:eastAsia="Times New Roman" w:hAnsi="Times New Roman" w:cs="Times New Roman"/>
                <w:b/>
                <w:bCs/>
                <w:i/>
                <w:sz w:val="16"/>
                <w:szCs w:val="16"/>
                <w:vertAlign w:val="subscript"/>
                <w:lang w:eastAsia="uk-UA"/>
              </w:rPr>
              <w:t>од</w:t>
            </w:r>
            <w:proofErr w:type="spellEnd"/>
          </w:p>
        </w:tc>
        <w:tc>
          <w:tcPr>
            <w:tcW w:w="180" w:type="dxa"/>
            <w:tcBorders>
              <w:top w:val="nil"/>
              <w:left w:val="nil"/>
              <w:bottom w:val="nil"/>
              <w:right w:val="nil"/>
            </w:tcBorders>
            <w:hideMark/>
          </w:tcPr>
          <w:p w14:paraId="3625CF6C"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w:t>
            </w:r>
          </w:p>
        </w:tc>
        <w:tc>
          <w:tcPr>
            <w:tcW w:w="10785" w:type="dxa"/>
            <w:tcBorders>
              <w:top w:val="nil"/>
              <w:left w:val="nil"/>
              <w:bottom w:val="nil"/>
              <w:right w:val="nil"/>
            </w:tcBorders>
            <w:hideMark/>
          </w:tcPr>
          <w:p w14:paraId="63932598"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очікувана ціна за одиницю;</w:t>
            </w:r>
          </w:p>
        </w:tc>
      </w:tr>
      <w:tr w:rsidR="004A4247" w:rsidRPr="004A4247" w14:paraId="239127C4" w14:textId="77777777" w:rsidTr="004A4247">
        <w:tc>
          <w:tcPr>
            <w:tcW w:w="345" w:type="dxa"/>
            <w:tcBorders>
              <w:top w:val="nil"/>
              <w:left w:val="nil"/>
              <w:bottom w:val="nil"/>
              <w:right w:val="nil"/>
            </w:tcBorders>
            <w:hideMark/>
          </w:tcPr>
          <w:p w14:paraId="2E71A798"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p>
        </w:tc>
        <w:tc>
          <w:tcPr>
            <w:tcW w:w="960" w:type="dxa"/>
            <w:tcBorders>
              <w:top w:val="nil"/>
              <w:left w:val="nil"/>
              <w:bottom w:val="nil"/>
              <w:right w:val="nil"/>
            </w:tcBorders>
            <w:hideMark/>
          </w:tcPr>
          <w:p w14:paraId="59374324"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b/>
                <w:bCs/>
                <w:i/>
                <w:sz w:val="24"/>
                <w:szCs w:val="24"/>
                <w:lang w:eastAsia="uk-UA"/>
              </w:rPr>
              <w:t>Ц</w:t>
            </w:r>
            <w:r w:rsidRPr="004A4247">
              <w:rPr>
                <w:rFonts w:ascii="Times New Roman" w:eastAsia="Times New Roman" w:hAnsi="Times New Roman" w:cs="Times New Roman"/>
                <w:b/>
                <w:bCs/>
                <w:i/>
                <w:sz w:val="16"/>
                <w:szCs w:val="16"/>
                <w:vertAlign w:val="subscript"/>
                <w:lang w:eastAsia="uk-UA"/>
              </w:rPr>
              <w:t>1</w:t>
            </w:r>
            <w:r w:rsidRPr="004A4247">
              <w:rPr>
                <w:rFonts w:ascii="Times New Roman" w:eastAsia="Times New Roman" w:hAnsi="Times New Roman" w:cs="Times New Roman"/>
                <w:i/>
                <w:sz w:val="24"/>
                <w:szCs w:val="24"/>
                <w:lang w:eastAsia="uk-UA"/>
              </w:rPr>
              <w:t xml:space="preserve">, </w:t>
            </w:r>
            <w:proofErr w:type="spellStart"/>
            <w:r w:rsidRPr="004A4247">
              <w:rPr>
                <w:rFonts w:ascii="Times New Roman" w:eastAsia="Times New Roman" w:hAnsi="Times New Roman" w:cs="Times New Roman"/>
                <w:i/>
                <w:sz w:val="24"/>
                <w:szCs w:val="24"/>
                <w:lang w:eastAsia="uk-UA"/>
              </w:rPr>
              <w:t>Ц</w:t>
            </w:r>
            <w:r w:rsidRPr="004A4247">
              <w:rPr>
                <w:rFonts w:ascii="Times New Roman" w:eastAsia="Times New Roman" w:hAnsi="Times New Roman" w:cs="Times New Roman"/>
                <w:b/>
                <w:bCs/>
                <w:i/>
                <w:sz w:val="16"/>
                <w:szCs w:val="16"/>
                <w:vertAlign w:val="subscript"/>
                <w:lang w:eastAsia="uk-UA"/>
              </w:rPr>
              <w:t>к</w:t>
            </w:r>
            <w:proofErr w:type="spellEnd"/>
          </w:p>
        </w:tc>
        <w:tc>
          <w:tcPr>
            <w:tcW w:w="180" w:type="dxa"/>
            <w:tcBorders>
              <w:top w:val="nil"/>
              <w:left w:val="nil"/>
              <w:bottom w:val="nil"/>
              <w:right w:val="nil"/>
            </w:tcBorders>
            <w:hideMark/>
          </w:tcPr>
          <w:p w14:paraId="38179C83"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w:t>
            </w:r>
          </w:p>
        </w:tc>
        <w:tc>
          <w:tcPr>
            <w:tcW w:w="10785" w:type="dxa"/>
            <w:tcBorders>
              <w:top w:val="nil"/>
              <w:left w:val="nil"/>
              <w:bottom w:val="nil"/>
              <w:right w:val="nil"/>
            </w:tcBorders>
            <w:hideMark/>
          </w:tcPr>
          <w:p w14:paraId="7CDC1EA9"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ціни, отримані з відкритих джерел інформації, приведені до єдиних умов;</w:t>
            </w:r>
          </w:p>
        </w:tc>
      </w:tr>
      <w:tr w:rsidR="004A4247" w:rsidRPr="004A4247" w14:paraId="27AA273C" w14:textId="77777777" w:rsidTr="004A4247">
        <w:tc>
          <w:tcPr>
            <w:tcW w:w="345" w:type="dxa"/>
            <w:tcBorders>
              <w:top w:val="nil"/>
              <w:left w:val="nil"/>
              <w:bottom w:val="nil"/>
              <w:right w:val="nil"/>
            </w:tcBorders>
            <w:hideMark/>
          </w:tcPr>
          <w:p w14:paraId="12AF531D"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p>
        </w:tc>
        <w:tc>
          <w:tcPr>
            <w:tcW w:w="960" w:type="dxa"/>
            <w:tcBorders>
              <w:top w:val="nil"/>
              <w:left w:val="nil"/>
              <w:bottom w:val="nil"/>
              <w:right w:val="nil"/>
            </w:tcBorders>
            <w:hideMark/>
          </w:tcPr>
          <w:p w14:paraId="6B1428E5"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b/>
                <w:bCs/>
                <w:i/>
                <w:sz w:val="24"/>
                <w:szCs w:val="24"/>
                <w:lang w:eastAsia="uk-UA"/>
              </w:rPr>
              <w:t>К</w:t>
            </w:r>
          </w:p>
        </w:tc>
        <w:tc>
          <w:tcPr>
            <w:tcW w:w="180" w:type="dxa"/>
            <w:tcBorders>
              <w:top w:val="nil"/>
              <w:left w:val="nil"/>
              <w:bottom w:val="nil"/>
              <w:right w:val="nil"/>
            </w:tcBorders>
            <w:hideMark/>
          </w:tcPr>
          <w:p w14:paraId="7F71BD38"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w:t>
            </w:r>
          </w:p>
        </w:tc>
        <w:tc>
          <w:tcPr>
            <w:tcW w:w="10785" w:type="dxa"/>
            <w:tcBorders>
              <w:top w:val="nil"/>
              <w:left w:val="nil"/>
              <w:bottom w:val="nil"/>
              <w:right w:val="nil"/>
            </w:tcBorders>
            <w:hideMark/>
          </w:tcPr>
          <w:p w14:paraId="4974FA11" w14:textId="77777777" w:rsidR="004A4247" w:rsidRPr="004A4247" w:rsidRDefault="004A4247" w:rsidP="00DB4476">
            <w:pPr>
              <w:spacing w:after="0" w:line="240" w:lineRule="auto"/>
              <w:rPr>
                <w:rFonts w:ascii="Times New Roman" w:eastAsia="Times New Roman" w:hAnsi="Times New Roman" w:cs="Times New Roman"/>
                <w:i/>
                <w:sz w:val="24"/>
                <w:szCs w:val="24"/>
                <w:lang w:eastAsia="uk-UA"/>
              </w:rPr>
            </w:pPr>
            <w:r w:rsidRPr="004A4247">
              <w:rPr>
                <w:rFonts w:ascii="Times New Roman" w:eastAsia="Times New Roman" w:hAnsi="Times New Roman" w:cs="Times New Roman"/>
                <w:i/>
                <w:sz w:val="24"/>
                <w:szCs w:val="24"/>
                <w:lang w:eastAsia="uk-UA"/>
              </w:rPr>
              <w:t>кількість цін, отриманих з відкритих джерел інформації;</w:t>
            </w:r>
          </w:p>
        </w:tc>
      </w:tr>
    </w:tbl>
    <w:p w14:paraId="1BAE7A66" w14:textId="311817C3" w:rsidR="003A759A" w:rsidRPr="00492E5C" w:rsidRDefault="003A759A" w:rsidP="0037205E">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i/>
          <w:lang w:eastAsia="uk-UA"/>
        </w:rPr>
      </w:pPr>
      <w:r w:rsidRPr="00492E5C">
        <w:rPr>
          <w:rFonts w:ascii="Times New Roman" w:eastAsia="Times New Roman" w:hAnsi="Times New Roman" w:cs="Times New Roman"/>
          <w:b/>
          <w:lang w:eastAsia="ru-RU"/>
        </w:rPr>
        <w:t>Розмір бюджетного призначення</w:t>
      </w:r>
      <w:r w:rsidR="00492E5C">
        <w:rPr>
          <w:rFonts w:ascii="Times New Roman" w:eastAsia="Times New Roman" w:hAnsi="Times New Roman" w:cs="Times New Roman"/>
          <w:b/>
          <w:lang w:eastAsia="ru-RU"/>
        </w:rPr>
        <w:t>:</w:t>
      </w:r>
      <w:r w:rsidRPr="00492E5C">
        <w:rPr>
          <w:rFonts w:ascii="Times New Roman" w:eastAsia="Times New Roman" w:hAnsi="Times New Roman" w:cs="Times New Roman"/>
          <w:lang w:eastAsia="ru-RU"/>
        </w:rPr>
        <w:t xml:space="preserve"> </w:t>
      </w:r>
      <w:r w:rsidR="0037205E" w:rsidRPr="0037205E">
        <w:rPr>
          <w:rFonts w:ascii="Times New Roman" w:eastAsia="Times New Roman" w:hAnsi="Times New Roman" w:cs="Times New Roman"/>
          <w:i/>
          <w:lang w:eastAsia="ru-RU"/>
        </w:rPr>
        <w:t xml:space="preserve">1 642 158.00 грн. (один мільйон шістсот сорок дві тисячі </w:t>
      </w:r>
      <w:r w:rsidR="0037205E">
        <w:rPr>
          <w:rFonts w:ascii="Times New Roman" w:eastAsia="Times New Roman" w:hAnsi="Times New Roman" w:cs="Times New Roman"/>
          <w:i/>
          <w:lang w:eastAsia="ru-RU"/>
        </w:rPr>
        <w:t>сто п’ятдесят вісім грн. 00 коп</w:t>
      </w:r>
      <w:r w:rsidR="0037205E">
        <w:rPr>
          <w:rFonts w:ascii="Times New Roman" w:hAnsi="Times New Roman" w:cs="Times New Roman"/>
          <w:i/>
        </w:rPr>
        <w:t>.</w:t>
      </w:r>
      <w:r w:rsidR="00D66107">
        <w:rPr>
          <w:rFonts w:ascii="Times New Roman" w:hAnsi="Times New Roman" w:cs="Times New Roman"/>
          <w:i/>
        </w:rPr>
        <w:t xml:space="preserve">) </w:t>
      </w:r>
      <w:r w:rsidR="0037205E">
        <w:rPr>
          <w:rFonts w:ascii="Times New Roman" w:hAnsi="Times New Roman" w:cs="Times New Roman"/>
          <w:i/>
        </w:rPr>
        <w:t xml:space="preserve"> </w:t>
      </w:r>
      <w:r w:rsidR="00492E5C">
        <w:rPr>
          <w:rFonts w:ascii="Times New Roman" w:hAnsi="Times New Roman" w:cs="Times New Roman"/>
          <w:i/>
        </w:rPr>
        <w:t xml:space="preserve"> </w:t>
      </w:r>
    </w:p>
    <w:p w14:paraId="547D43FF" w14:textId="1E6EEAC9" w:rsidR="00BC6E8A" w:rsidRDefault="007127A3" w:rsidP="00BC6E8A">
      <w:pPr>
        <w:pStyle w:val="a3"/>
        <w:tabs>
          <w:tab w:val="left" w:pos="284"/>
          <w:tab w:val="left" w:pos="851"/>
        </w:tabs>
        <w:spacing w:after="0" w:line="240" w:lineRule="auto"/>
        <w:ind w:left="0" w:firstLine="567"/>
        <w:jc w:val="both"/>
        <w:rPr>
          <w:rFonts w:ascii="Times New Roman" w:eastAsia="Times New Roman" w:hAnsi="Times New Roman" w:cs="Times New Roman"/>
          <w:i/>
          <w:lang w:eastAsia="ru-RU"/>
        </w:rPr>
      </w:pPr>
      <w:r w:rsidRPr="00BC6E8A">
        <w:rPr>
          <w:rFonts w:ascii="Times New Roman" w:eastAsia="Times New Roman" w:hAnsi="Times New Roman" w:cs="Times New Roman"/>
          <w:i/>
          <w:lang w:eastAsia="ru-RU"/>
        </w:rPr>
        <w:t xml:space="preserve">Розмір бюджетного призначення визначений </w:t>
      </w:r>
      <w:r w:rsidR="00FA1242" w:rsidRPr="00BC6E8A">
        <w:rPr>
          <w:rFonts w:ascii="Times New Roman" w:eastAsia="Times New Roman" w:hAnsi="Times New Roman" w:cs="Times New Roman"/>
          <w:i/>
          <w:lang w:eastAsia="ru-RU"/>
        </w:rPr>
        <w:t xml:space="preserve">з урахуванням </w:t>
      </w:r>
      <w:r w:rsidR="00D66107" w:rsidRPr="00BC6E8A">
        <w:rPr>
          <w:rFonts w:ascii="Times New Roman" w:eastAsia="Times New Roman" w:hAnsi="Times New Roman" w:cs="Times New Roman"/>
          <w:i/>
          <w:lang w:eastAsia="ru-RU"/>
        </w:rPr>
        <w:t xml:space="preserve">Ухвал Львівської міської ради </w:t>
      </w:r>
      <w:r w:rsidR="00BC6E8A" w:rsidRPr="00BC6E8A">
        <w:rPr>
          <w:rFonts w:ascii="Times New Roman" w:eastAsia="Times New Roman" w:hAnsi="Times New Roman" w:cs="Times New Roman"/>
          <w:i/>
          <w:lang w:eastAsia="ru-RU"/>
        </w:rPr>
        <w:t>від 29.12.2020 № 29 "Про бюджет  Львівської міської територіальної громади на 2021 рік"</w:t>
      </w:r>
      <w:r w:rsidR="00DD26A7">
        <w:rPr>
          <w:rFonts w:ascii="Times New Roman" w:eastAsia="Times New Roman" w:hAnsi="Times New Roman" w:cs="Times New Roman"/>
          <w:i/>
          <w:lang w:eastAsia="ru-RU"/>
        </w:rPr>
        <w:t>(</w:t>
      </w:r>
      <w:r w:rsidR="00BC6E8A" w:rsidRPr="00BC6E8A">
        <w:rPr>
          <w:rFonts w:ascii="Times New Roman" w:eastAsia="Times New Roman" w:hAnsi="Times New Roman" w:cs="Times New Roman"/>
          <w:i/>
          <w:lang w:eastAsia="ru-RU"/>
        </w:rPr>
        <w:t xml:space="preserve"> </w:t>
      </w:r>
      <w:r w:rsidR="00BC6E8A">
        <w:rPr>
          <w:rFonts w:ascii="Times New Roman" w:eastAsia="Times New Roman" w:hAnsi="Times New Roman" w:cs="Times New Roman"/>
          <w:i/>
          <w:lang w:eastAsia="ru-RU"/>
        </w:rPr>
        <w:t>із змінами</w:t>
      </w:r>
      <w:r w:rsidR="00DD26A7">
        <w:rPr>
          <w:rFonts w:ascii="Times New Roman" w:eastAsia="Times New Roman" w:hAnsi="Times New Roman" w:cs="Times New Roman"/>
          <w:i/>
          <w:lang w:eastAsia="ru-RU"/>
        </w:rPr>
        <w:t>)</w:t>
      </w:r>
      <w:r w:rsidR="00BC6E8A">
        <w:rPr>
          <w:rFonts w:ascii="Times New Roman" w:eastAsia="Times New Roman" w:hAnsi="Times New Roman" w:cs="Times New Roman"/>
          <w:i/>
          <w:lang w:eastAsia="ru-RU"/>
        </w:rPr>
        <w:t>.</w:t>
      </w:r>
    </w:p>
    <w:p w14:paraId="2D64AD59" w14:textId="31102C39" w:rsidR="00E5064C" w:rsidRPr="00492E5C" w:rsidRDefault="00502670" w:rsidP="00BC6E8A">
      <w:pPr>
        <w:pStyle w:val="a3"/>
        <w:tabs>
          <w:tab w:val="left" w:pos="284"/>
          <w:tab w:val="left" w:pos="851"/>
        </w:tabs>
        <w:spacing w:after="0" w:line="240" w:lineRule="auto"/>
        <w:ind w:left="0" w:firstLine="567"/>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75838202" w:rsidR="00E5064C" w:rsidRPr="00492E5C" w:rsidRDefault="00E5064C" w:rsidP="0037205E">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D66107">
        <w:rPr>
          <w:rFonts w:ascii="Times New Roman" w:eastAsia="Times New Roman" w:hAnsi="Times New Roman" w:cs="Times New Roman"/>
          <w:i/>
          <w:lang w:eastAsia="ru-RU"/>
        </w:rPr>
        <w:t xml:space="preserve">поставки товару </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DD3265" w:rsidRPr="00492E5C">
        <w:rPr>
          <w:rFonts w:ascii="Times New Roman" w:eastAsia="Times New Roman" w:hAnsi="Times New Roman" w:cs="Times New Roman"/>
          <w:i/>
          <w:lang w:eastAsia="ru-RU"/>
        </w:rPr>
        <w:t>31.12</w:t>
      </w:r>
      <w:r w:rsidRPr="00492E5C">
        <w:rPr>
          <w:rFonts w:ascii="Times New Roman" w:eastAsia="Times New Roman" w:hAnsi="Times New Roman" w:cs="Times New Roman"/>
          <w:i/>
          <w:lang w:eastAsia="ru-RU"/>
        </w:rPr>
        <w:t>.202</w:t>
      </w:r>
      <w:r w:rsidR="00D66107">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6EEE8117" w:rsidR="00492E5C" w:rsidRPr="00492E5C" w:rsidRDefault="00E5064C" w:rsidP="0037205E">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D66107">
        <w:rPr>
          <w:rFonts w:ascii="Times New Roman" w:eastAsia="Times New Roman" w:hAnsi="Times New Roman" w:cs="Times New Roman"/>
          <w:i/>
          <w:lang w:eastAsia="ru-RU"/>
        </w:rPr>
        <w:t>, №3.1 та №3.2</w:t>
      </w:r>
      <w:r w:rsidR="00492E5C">
        <w:rPr>
          <w:rFonts w:ascii="Times New Roman" w:eastAsia="Times New Roman" w:hAnsi="Times New Roman" w:cs="Times New Roman"/>
          <w:i/>
          <w:lang w:eastAsia="ru-RU"/>
        </w:rPr>
        <w:t xml:space="preserve"> 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2A200C30" w14:textId="77777777" w:rsidR="00061475" w:rsidRPr="00492E5C" w:rsidRDefault="00061475" w:rsidP="005702E0">
      <w:pPr>
        <w:spacing w:after="0" w:line="240" w:lineRule="auto"/>
        <w:rPr>
          <w:rFonts w:ascii="Times New Roman" w:hAnsi="Times New Roman" w:cs="Times New Roman"/>
        </w:rPr>
      </w:pPr>
      <w:r w:rsidRPr="00492E5C">
        <w:rPr>
          <w:rFonts w:ascii="Times New Roman" w:hAnsi="Times New Roman" w:cs="Times New Roman"/>
        </w:rPr>
        <w:t>Затверджено рішенням тендерного комітету</w:t>
      </w:r>
      <w:bookmarkStart w:id="3" w:name="_GoBack"/>
      <w:bookmarkEnd w:id="3"/>
    </w:p>
    <w:p w14:paraId="0CDF36E0" w14:textId="5790B45A" w:rsidR="00232AC8" w:rsidRDefault="00061475" w:rsidP="005702E0">
      <w:pPr>
        <w:spacing w:after="0" w:line="240" w:lineRule="auto"/>
        <w:rPr>
          <w:rFonts w:ascii="Times New Roman" w:hAnsi="Times New Roman" w:cs="Times New Roman"/>
        </w:rPr>
      </w:pPr>
      <w:r w:rsidRPr="00492E5C">
        <w:rPr>
          <w:rFonts w:ascii="Times New Roman" w:hAnsi="Times New Roman" w:cs="Times New Roman"/>
        </w:rPr>
        <w:t>Протокол №</w:t>
      </w:r>
      <w:r w:rsidR="00094FB6" w:rsidRPr="00142E9F">
        <w:rPr>
          <w:rFonts w:ascii="Times New Roman" w:hAnsi="Times New Roman" w:cs="Times New Roman"/>
          <w:lang w:val="ru-RU"/>
        </w:rPr>
        <w:t>98</w:t>
      </w:r>
      <w:r w:rsidRPr="00492E5C">
        <w:rPr>
          <w:rFonts w:ascii="Times New Roman" w:hAnsi="Times New Roman" w:cs="Times New Roman"/>
        </w:rPr>
        <w:t xml:space="preserve"> від </w:t>
      </w:r>
      <w:r w:rsidR="00094FB6">
        <w:rPr>
          <w:rFonts w:ascii="Times New Roman" w:hAnsi="Times New Roman" w:cs="Times New Roman"/>
        </w:rPr>
        <w:t>15.07.2021р.</w:t>
      </w:r>
      <w:r w:rsidR="00492E5C" w:rsidRPr="00492E5C">
        <w:rPr>
          <w:rFonts w:ascii="Times New Roman" w:hAnsi="Times New Roman" w:cs="Times New Roman"/>
        </w:rPr>
        <w:t>_________</w:t>
      </w:r>
    </w:p>
    <w:p w14:paraId="79BF51D4" w14:textId="2802C228" w:rsidR="00061475" w:rsidRDefault="00061475" w:rsidP="005702E0">
      <w:pPr>
        <w:spacing w:after="0" w:line="240" w:lineRule="auto"/>
        <w:rPr>
          <w:rFonts w:ascii="Times New Roman" w:hAnsi="Times New Roman" w:cs="Times New Roman"/>
        </w:rPr>
      </w:pPr>
      <w:r w:rsidRPr="00492E5C">
        <w:rPr>
          <w:rFonts w:ascii="Times New Roman" w:hAnsi="Times New Roman" w:cs="Times New Roman"/>
        </w:rPr>
        <w:t>Голова тендерного комітету</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proofErr w:type="spellStart"/>
      <w:r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94FB6"/>
    <w:rsid w:val="000B3889"/>
    <w:rsid w:val="00133092"/>
    <w:rsid w:val="00142E9F"/>
    <w:rsid w:val="00232AC8"/>
    <w:rsid w:val="002D4944"/>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B5D33"/>
    <w:rsid w:val="008C0C0E"/>
    <w:rsid w:val="0093636B"/>
    <w:rsid w:val="00951E65"/>
    <w:rsid w:val="009E4521"/>
    <w:rsid w:val="009F50F1"/>
    <w:rsid w:val="00A74924"/>
    <w:rsid w:val="00AD29ED"/>
    <w:rsid w:val="00B2681C"/>
    <w:rsid w:val="00B37972"/>
    <w:rsid w:val="00B55EBE"/>
    <w:rsid w:val="00B6751B"/>
    <w:rsid w:val="00BC6E8A"/>
    <w:rsid w:val="00BE2468"/>
    <w:rsid w:val="00C47658"/>
    <w:rsid w:val="00D11286"/>
    <w:rsid w:val="00D66107"/>
    <w:rsid w:val="00D813B0"/>
    <w:rsid w:val="00DB4476"/>
    <w:rsid w:val="00DC2027"/>
    <w:rsid w:val="00DD26A7"/>
    <w:rsid w:val="00DD3265"/>
    <w:rsid w:val="00DD3631"/>
    <w:rsid w:val="00E243E6"/>
    <w:rsid w:val="00E5064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7-15-00238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2382</Words>
  <Characters>1359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30</cp:revision>
  <cp:lastPrinted>2021-07-16T06:24:00Z</cp:lastPrinted>
  <dcterms:created xsi:type="dcterms:W3CDTF">2021-04-15T16:37:00Z</dcterms:created>
  <dcterms:modified xsi:type="dcterms:W3CDTF">2021-07-16T06:24:00Z</dcterms:modified>
</cp:coreProperties>
</file>