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DA6" w:rsidRPr="00AE0DA6" w:rsidRDefault="00AE0DA6" w:rsidP="00AE0DA6">
      <w:pPr>
        <w:jc w:val="both"/>
        <w:rPr>
          <w:rFonts w:ascii="Arial" w:eastAsia="Times New Roman" w:hAnsi="Arial" w:cs="Arial"/>
          <w:b/>
          <w:color w:val="000000"/>
          <w:sz w:val="24"/>
          <w:szCs w:val="24"/>
        </w:rPr>
      </w:pPr>
      <w:bookmarkStart w:id="0" w:name="_GoBack"/>
      <w:bookmarkEnd w:id="0"/>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rsidR="008E37DA" w:rsidRDefault="00AE0DA6" w:rsidP="00AE0DA6">
      <w:pPr>
        <w:jc w:val="both"/>
        <w:rPr>
          <w:rFonts w:ascii="Arial" w:eastAsia="Times New Roman" w:hAnsi="Arial" w:cs="Arial"/>
          <w:color w:val="000000"/>
          <w:sz w:val="24"/>
          <w:szCs w:val="24"/>
        </w:rPr>
      </w:pPr>
      <w:r w:rsidRPr="00AE0DA6">
        <w:rPr>
          <w:rFonts w:ascii="Arial" w:eastAsia="Times New Roman" w:hAnsi="Arial" w:cs="Arial"/>
          <w:color w:val="000000"/>
          <w:sz w:val="24"/>
          <w:szCs w:val="24"/>
        </w:rPr>
        <w:t xml:space="preserve">За </w:t>
      </w:r>
      <w:r>
        <w:rPr>
          <w:rFonts w:ascii="Arial" w:eastAsia="Times New Roman" w:hAnsi="Arial" w:cs="Arial"/>
          <w:color w:val="000000"/>
          <w:sz w:val="24"/>
          <w:szCs w:val="24"/>
        </w:rPr>
        <w:t>три</w:t>
      </w:r>
      <w:r w:rsidRPr="00AE0DA6">
        <w:rPr>
          <w:rFonts w:ascii="Arial" w:eastAsia="Times New Roman" w:hAnsi="Arial" w:cs="Arial"/>
          <w:color w:val="000000"/>
          <w:sz w:val="24"/>
          <w:szCs w:val="24"/>
        </w:rPr>
        <w:t xml:space="preserve"> квартали</w:t>
      </w:r>
      <w:r w:rsidR="000A5275">
        <w:rPr>
          <w:rFonts w:ascii="Arial" w:eastAsia="Times New Roman" w:hAnsi="Arial" w:cs="Arial"/>
          <w:color w:val="000000"/>
          <w:sz w:val="24"/>
          <w:szCs w:val="24"/>
        </w:rPr>
        <w:t xml:space="preserve"> з 2021</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522341">
        <w:rPr>
          <w:rFonts w:ascii="Arial" w:eastAsia="Times New Roman" w:hAnsi="Arial" w:cs="Arial"/>
          <w:color w:val="000000"/>
          <w:sz w:val="24"/>
          <w:szCs w:val="24"/>
        </w:rPr>
        <w:t>47</w:t>
      </w:r>
      <w:r w:rsidRPr="00AE0DA6">
        <w:rPr>
          <w:rFonts w:ascii="Arial" w:eastAsia="Times New Roman" w:hAnsi="Arial" w:cs="Arial"/>
          <w:color w:val="000000"/>
          <w:sz w:val="24"/>
          <w:szCs w:val="24"/>
        </w:rPr>
        <w:t xml:space="preserve"> повідомлень. Зокрема через офіційний сайт міської ради </w:t>
      </w:r>
      <w:hyperlink r:id="rId5" w:history="1">
        <w:r w:rsidRPr="00AE0DA6">
          <w:rPr>
            <w:rFonts w:ascii="Arial" w:eastAsia="Times New Roman" w:hAnsi="Arial" w:cs="Arial"/>
            <w:color w:val="0000FF"/>
            <w:sz w:val="24"/>
            <w:szCs w:val="24"/>
            <w:u w:val="single"/>
          </w:rPr>
          <w:t>www.city-adm.lviv.ua</w:t>
        </w:r>
      </w:hyperlink>
      <w:r w:rsidR="00522341">
        <w:rPr>
          <w:rFonts w:ascii="Arial" w:eastAsia="Times New Roman" w:hAnsi="Arial" w:cs="Arial"/>
          <w:color w:val="0000FF"/>
          <w:sz w:val="24"/>
          <w:szCs w:val="24"/>
          <w:u w:val="single"/>
        </w:rPr>
        <w:t xml:space="preserve"> </w:t>
      </w:r>
      <w:r w:rsidR="00522341">
        <w:rPr>
          <w:rFonts w:ascii="Arial" w:eastAsia="Times New Roman" w:hAnsi="Arial" w:cs="Arial"/>
          <w:color w:val="000000"/>
          <w:sz w:val="24"/>
          <w:szCs w:val="24"/>
        </w:rPr>
        <w:t>– 24</w:t>
      </w:r>
      <w:r w:rsidRPr="00AE0DA6">
        <w:rPr>
          <w:rFonts w:ascii="Arial" w:eastAsia="Times New Roman" w:hAnsi="Arial" w:cs="Arial"/>
          <w:color w:val="000000"/>
          <w:sz w:val="24"/>
          <w:szCs w:val="24"/>
        </w:rPr>
        <w:t xml:space="preserve"> повідом</w:t>
      </w:r>
      <w:r w:rsidR="00522341">
        <w:rPr>
          <w:rFonts w:ascii="Arial" w:eastAsia="Times New Roman" w:hAnsi="Arial" w:cs="Arial"/>
          <w:color w:val="000000"/>
          <w:sz w:val="24"/>
          <w:szCs w:val="24"/>
        </w:rPr>
        <w:t>лення, н</w:t>
      </w:r>
      <w:r w:rsidRPr="00AE0DA6">
        <w:rPr>
          <w:rFonts w:ascii="Arial" w:eastAsia="Times New Roman" w:hAnsi="Arial" w:cs="Arial"/>
          <w:color w:val="000000"/>
          <w:sz w:val="24"/>
          <w:szCs w:val="24"/>
        </w:rPr>
        <w:t xml:space="preserve">а спеціальну скриньку </w:t>
      </w:r>
      <w:hyperlink r:id="rId6" w:history="1">
        <w:r w:rsidRPr="00AE0DA6">
          <w:rPr>
            <w:rFonts w:ascii="Arial" w:eastAsia="Times New Roman" w:hAnsi="Arial" w:cs="Arial"/>
            <w:color w:val="0563C1"/>
            <w:sz w:val="24"/>
            <w:szCs w:val="24"/>
            <w:u w:val="single"/>
          </w:rPr>
          <w:t>ethics@lvivcity.gov.ua</w:t>
        </w:r>
      </w:hyperlink>
      <w:r w:rsidRPr="00AE0DA6">
        <w:rPr>
          <w:rFonts w:ascii="Arial" w:eastAsia="Times New Roman" w:hAnsi="Arial" w:cs="Arial"/>
          <w:color w:val="0563C1"/>
          <w:sz w:val="24"/>
          <w:szCs w:val="24"/>
          <w:u w:val="single"/>
        </w:rPr>
        <w:t xml:space="preserve"> – </w:t>
      </w:r>
      <w:r w:rsidR="00522341">
        <w:rPr>
          <w:rFonts w:ascii="Arial" w:eastAsia="Times New Roman" w:hAnsi="Arial" w:cs="Arial"/>
          <w:color w:val="000000"/>
          <w:sz w:val="24"/>
          <w:szCs w:val="24"/>
        </w:rPr>
        <w:t>13</w:t>
      </w:r>
      <w:r w:rsidRPr="00AE0DA6">
        <w:rPr>
          <w:rFonts w:ascii="Arial" w:eastAsia="Times New Roman" w:hAnsi="Arial" w:cs="Arial"/>
          <w:color w:val="000000"/>
          <w:sz w:val="24"/>
          <w:szCs w:val="24"/>
        </w:rPr>
        <w:t xml:space="preserve"> по</w:t>
      </w:r>
      <w:r w:rsidR="00522341">
        <w:rPr>
          <w:rFonts w:ascii="Arial" w:eastAsia="Times New Roman" w:hAnsi="Arial" w:cs="Arial"/>
          <w:color w:val="000000"/>
          <w:sz w:val="24"/>
          <w:szCs w:val="24"/>
        </w:rPr>
        <w:t xml:space="preserve">відомлень, на загальну скриньку </w:t>
      </w:r>
      <w:hyperlink r:id="rId7" w:history="1">
        <w:r w:rsidR="00522341" w:rsidRPr="0070397E">
          <w:rPr>
            <w:rStyle w:val="a3"/>
            <w:rFonts w:ascii="Arial" w:eastAsia="Times New Roman" w:hAnsi="Arial" w:cs="Arial"/>
            <w:sz w:val="24"/>
            <w:szCs w:val="24"/>
            <w:lang w:val="en-US"/>
          </w:rPr>
          <w:t>integrity@lvivcity-gov.ua</w:t>
        </w:r>
      </w:hyperlink>
      <w:r w:rsidR="00522341">
        <w:rPr>
          <w:rFonts w:ascii="Arial" w:eastAsia="Times New Roman" w:hAnsi="Arial" w:cs="Arial"/>
          <w:color w:val="000000"/>
          <w:sz w:val="24"/>
          <w:szCs w:val="24"/>
          <w:lang w:val="en-US"/>
        </w:rPr>
        <w:t xml:space="preserve"> – </w:t>
      </w:r>
      <w:r w:rsidR="008E37DA">
        <w:rPr>
          <w:rFonts w:ascii="Arial" w:eastAsia="Times New Roman" w:hAnsi="Arial" w:cs="Arial"/>
          <w:color w:val="000000"/>
          <w:sz w:val="24"/>
          <w:szCs w:val="24"/>
          <w:lang w:val="en-US"/>
        </w:rPr>
        <w:t xml:space="preserve">6 </w:t>
      </w:r>
      <w:proofErr w:type="spellStart"/>
      <w:r w:rsidR="008E37DA">
        <w:rPr>
          <w:rFonts w:ascii="Arial" w:eastAsia="Times New Roman" w:hAnsi="Arial" w:cs="Arial"/>
          <w:color w:val="000000"/>
          <w:sz w:val="24"/>
          <w:szCs w:val="24"/>
          <w:lang w:val="en-US"/>
        </w:rPr>
        <w:t>повідомлень</w:t>
      </w:r>
      <w:proofErr w:type="spellEnd"/>
      <w:r w:rsidR="008E37DA">
        <w:rPr>
          <w:rFonts w:ascii="Arial" w:eastAsia="Times New Roman" w:hAnsi="Arial" w:cs="Arial"/>
          <w:color w:val="000000"/>
          <w:sz w:val="24"/>
          <w:szCs w:val="24"/>
          <w:lang w:val="en-US"/>
        </w:rPr>
        <w:t xml:space="preserve">, </w:t>
      </w:r>
      <w:r w:rsidR="00522341">
        <w:rPr>
          <w:rFonts w:ascii="Arial" w:eastAsia="Times New Roman" w:hAnsi="Arial" w:cs="Arial"/>
          <w:color w:val="000000"/>
          <w:sz w:val="24"/>
          <w:szCs w:val="24"/>
        </w:rPr>
        <w:t>особисто в Сектор – 2</w:t>
      </w:r>
      <w:r w:rsidRPr="00AE0DA6">
        <w:rPr>
          <w:rFonts w:ascii="Arial" w:eastAsia="Times New Roman" w:hAnsi="Arial" w:cs="Arial"/>
          <w:color w:val="000000"/>
          <w:sz w:val="24"/>
          <w:szCs w:val="24"/>
        </w:rPr>
        <w:t xml:space="preserve"> повідомлень, </w:t>
      </w:r>
      <w:r w:rsidR="008E37DA">
        <w:rPr>
          <w:rFonts w:ascii="Arial" w:eastAsia="Times New Roman" w:hAnsi="Arial" w:cs="Arial"/>
          <w:color w:val="000000"/>
          <w:sz w:val="24"/>
          <w:szCs w:val="24"/>
        </w:rPr>
        <w:t xml:space="preserve">ЦНАП – </w:t>
      </w:r>
      <w:r w:rsidRPr="00AE0DA6">
        <w:rPr>
          <w:rFonts w:ascii="Arial" w:eastAsia="Times New Roman" w:hAnsi="Arial" w:cs="Arial"/>
          <w:color w:val="000000"/>
          <w:sz w:val="24"/>
          <w:szCs w:val="24"/>
        </w:rPr>
        <w:t>1 повідомлення</w:t>
      </w:r>
      <w:r w:rsidR="008E37DA">
        <w:rPr>
          <w:rFonts w:ascii="Arial" w:eastAsia="Times New Roman" w:hAnsi="Arial" w:cs="Arial"/>
          <w:color w:val="000000"/>
          <w:sz w:val="24"/>
          <w:szCs w:val="24"/>
        </w:rPr>
        <w:t>, урядова лінія – 1 повідомлення.</w:t>
      </w:r>
    </w:p>
    <w:p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rsidTr="000A5275">
        <w:trPr>
          <w:trHeight w:val="3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7D271C" w:rsidRPr="00AE0DA6" w:rsidRDefault="007D271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47</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rsidR="007D271C" w:rsidRPr="00AE0DA6" w:rsidRDefault="007D271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14</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rsidR="007D271C" w:rsidRPr="00AE0DA6" w:rsidRDefault="007D271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6 (з них 3 частково)</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rsidR="007D271C" w:rsidRPr="00AE0DA6" w:rsidRDefault="007D271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26</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rsidR="007D271C" w:rsidRPr="00AE0DA6" w:rsidRDefault="007D271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13</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rsidR="007D271C" w:rsidRPr="00AE0DA6" w:rsidRDefault="007D271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5</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rsidR="007D271C" w:rsidRPr="00AE0DA6" w:rsidRDefault="007D271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2</w:t>
            </w:r>
          </w:p>
        </w:tc>
      </w:tr>
    </w:tbl>
    <w:p w:rsidR="00AE0DA6" w:rsidRPr="00AE0DA6" w:rsidRDefault="00AE0DA6" w:rsidP="00AE0DA6">
      <w:pPr>
        <w:jc w:val="both"/>
        <w:rPr>
          <w:rFonts w:ascii="Arial" w:eastAsia="Times New Roman" w:hAnsi="Arial" w:cs="Arial"/>
          <w:color w:val="000000"/>
          <w:sz w:val="24"/>
          <w:szCs w:val="24"/>
        </w:rPr>
      </w:pPr>
    </w:p>
    <w:p w:rsidR="00AE0DA6" w:rsidRPr="00AE0DA6" w:rsidRDefault="00AE0DA6" w:rsidP="00AE0DA6">
      <w:pPr>
        <w:jc w:val="both"/>
        <w:rPr>
          <w:rFonts w:ascii="Arial" w:eastAsia="Calibri" w:hAnsi="Arial" w:cs="Arial"/>
          <w:b/>
          <w:sz w:val="24"/>
          <w:szCs w:val="24"/>
        </w:rPr>
      </w:pPr>
    </w:p>
    <w:p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DA6"/>
    <w:rsid w:val="000A5275"/>
    <w:rsid w:val="002B225E"/>
    <w:rsid w:val="00362FD2"/>
    <w:rsid w:val="00522341"/>
    <w:rsid w:val="007D271C"/>
    <w:rsid w:val="008E37DA"/>
    <w:rsid w:val="00AE0DA6"/>
    <w:rsid w:val="00D347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grity@lvivcity-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thics@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1033</Words>
  <Characters>589</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Гурняк Світлана</cp:lastModifiedBy>
  <cp:revision>2</cp:revision>
  <dcterms:created xsi:type="dcterms:W3CDTF">2021-11-07T14:26:00Z</dcterms:created>
  <dcterms:modified xsi:type="dcterms:W3CDTF">2021-11-07T14:26:00Z</dcterms:modified>
</cp:coreProperties>
</file>