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31" w:rsidRPr="002169A1" w:rsidRDefault="002C1E31" w:rsidP="002C1E31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2169A1"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46 (2420) від 16 листопада 2022 року.</w:t>
      </w:r>
    </w:p>
    <w:p w:rsidR="002C1E31" w:rsidRPr="002169A1" w:rsidRDefault="002C1E31" w:rsidP="002C1E3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169A1">
        <w:rPr>
          <w:rFonts w:ascii="Arial" w:hAnsi="Arial" w:cs="Arial"/>
          <w:sz w:val="24"/>
          <w:szCs w:val="24"/>
        </w:rPr>
        <w:t>Товариство з обмеженою відповідальністю «УСПІШНИЙ ГОТЕЛЬ», код ЄДРПОУ: 39625264, основний КВЕД: 55.10 Діяльність готелів і подібних засобів тимчасового розміщування має наміри отримати дозвіл на викиди забруднюючих речовин в атмосферне повітря. Юридична адреса суб’єкта господарювання та адреса промислового майданчика: 79006, м. Львів, вул. Шевська, буд. 4.</w:t>
      </w:r>
    </w:p>
    <w:p w:rsidR="002C1E31" w:rsidRPr="007A7AE4" w:rsidRDefault="002C1E31" w:rsidP="002C1E31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69A1">
        <w:rPr>
          <w:rFonts w:ascii="Arial" w:hAnsi="Arial" w:cs="Arial"/>
          <w:sz w:val="24"/>
          <w:szCs w:val="24"/>
        </w:rPr>
        <w:t>Джерелами забруднення атмосферного повітря є димові труби 6-ти конденсаційних котлів, що працюють на природному газі, витяжна труба дизельної електростанції, труба витяжної вентиляції кухні.</w:t>
      </w:r>
      <w:r w:rsidRPr="002169A1">
        <w:rPr>
          <w:rFonts w:ascii="Arial" w:eastAsia="Calibri" w:hAnsi="Arial" w:cs="Arial"/>
          <w:noProof/>
          <w:sz w:val="24"/>
          <w:szCs w:val="24"/>
        </w:rPr>
        <w:t xml:space="preserve"> В атмосферне повітря протягом року надходитимуть наступні забруднюючі речовини в наступних кількостях:</w:t>
      </w:r>
      <w:r w:rsidRPr="002169A1">
        <w:rPr>
          <w:rFonts w:ascii="Arial" w:hAnsi="Arial" w:cs="Arial"/>
          <w:sz w:val="24"/>
          <w:szCs w:val="24"/>
        </w:rPr>
        <w:t xml:space="preserve"> діоксид азоту – 0,17369 т/рік; оксид вуглецю – 0,18495 т/рік; діоксид сірки – 0,00147 т/рік; метан – 0,00237 т/рік; діоксид вуглецю – 130,53330 т/рік; оксид </w:t>
      </w:r>
      <w:proofErr w:type="spellStart"/>
      <w:r w:rsidRPr="002169A1">
        <w:rPr>
          <w:rFonts w:ascii="Arial" w:hAnsi="Arial" w:cs="Arial"/>
          <w:sz w:val="24"/>
          <w:szCs w:val="24"/>
        </w:rPr>
        <w:t>діазоту</w:t>
      </w:r>
      <w:proofErr w:type="spellEnd"/>
      <w:r w:rsidRPr="002169A1">
        <w:rPr>
          <w:rFonts w:ascii="Arial" w:hAnsi="Arial" w:cs="Arial"/>
          <w:sz w:val="24"/>
          <w:szCs w:val="24"/>
        </w:rPr>
        <w:t xml:space="preserve"> – 0,00028 т/рік; акролеїн – 0,00001692 т/рік. </w:t>
      </w:r>
      <w:r w:rsidRPr="002169A1">
        <w:rPr>
          <w:rFonts w:ascii="Arial" w:eastAsia="Calibri" w:hAnsi="Arial" w:cs="Arial"/>
          <w:noProof/>
          <w:sz w:val="24"/>
          <w:szCs w:val="24"/>
        </w:rPr>
        <w:t>Об`єкт належить до третьої групи.</w:t>
      </w:r>
      <w:r w:rsidRPr="007A7AE4">
        <w:rPr>
          <w:rFonts w:ascii="Arial" w:hAnsi="Arial" w:cs="Arial"/>
          <w:sz w:val="24"/>
          <w:szCs w:val="24"/>
          <w:lang w:eastAsia="ru-RU"/>
        </w:rPr>
        <w:t xml:space="preserve"> 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7A7AE4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7A7AE4"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 w:rsidRPr="007A7AE4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7A7AE4"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7A7AE4"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 w:rsidRPr="007A7AE4"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381891" w:rsidRDefault="00381891">
      <w:bookmarkStart w:id="0" w:name="_GoBack"/>
      <w:bookmarkEnd w:id="0"/>
    </w:p>
    <w:sectPr w:rsidR="003818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85"/>
    <w:rsid w:val="000D0685"/>
    <w:rsid w:val="002C1E31"/>
    <w:rsid w:val="0038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0080D-5613-466F-84A5-90BB2DA6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3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2023-01-03T12:09:00Z</dcterms:created>
  <dcterms:modified xsi:type="dcterms:W3CDTF">2023-01-03T12:09:00Z</dcterms:modified>
</cp:coreProperties>
</file>