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BD38"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14:paraId="3CB9E709"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14:paraId="42E10801" w14:textId="77777777" w:rsidR="00EE1700" w:rsidRPr="00EE1700" w:rsidRDefault="00EE1700" w:rsidP="00EE1700">
      <w:pPr>
        <w:spacing w:after="0" w:line="240" w:lineRule="auto"/>
        <w:ind w:firstLine="567"/>
        <w:jc w:val="center"/>
        <w:rPr>
          <w:rFonts w:ascii="Times New Roman" w:hAnsi="Times New Roman"/>
          <w:b/>
          <w:i/>
          <w:sz w:val="28"/>
          <w:szCs w:val="28"/>
        </w:rPr>
      </w:pPr>
    </w:p>
    <w:p w14:paraId="4DFCEFFF" w14:textId="77777777"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14:paraId="7B8FD71C" w14:textId="77777777" w:rsidR="00EE1700" w:rsidRPr="00B16C66" w:rsidRDefault="00EE1700" w:rsidP="00EE1700">
      <w:pPr>
        <w:spacing w:after="0" w:line="240" w:lineRule="auto"/>
        <w:ind w:firstLine="567"/>
        <w:jc w:val="center"/>
        <w:rPr>
          <w:rFonts w:ascii="Times New Roman" w:hAnsi="Times New Roman" w:cs="Times New Roman"/>
          <w:b/>
        </w:rPr>
      </w:pPr>
    </w:p>
    <w:p w14:paraId="583C4654" w14:textId="77777777" w:rsidR="00301BC7" w:rsidRDefault="00301BC7" w:rsidP="00A81052">
      <w:pPr>
        <w:spacing w:after="0" w:line="240" w:lineRule="auto"/>
        <w:ind w:firstLine="567"/>
        <w:jc w:val="center"/>
        <w:rPr>
          <w:rFonts w:ascii="Times New Roman" w:hAnsi="Times New Roman" w:cs="Times New Roman"/>
          <w:b/>
        </w:rPr>
      </w:pPr>
    </w:p>
    <w:p w14:paraId="1B62F9C8" w14:textId="6FFE33A9"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FA37B5">
        <w:rPr>
          <w:rFonts w:ascii="Times New Roman" w:hAnsi="Times New Roman" w:cs="Times New Roman"/>
        </w:rPr>
        <w:t>МНД Білогорща</w:t>
      </w:r>
      <w:r w:rsidR="00EE1700">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3F152B66"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2A2EB54F" w14:textId="77777777"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14:paraId="5CEE5597" w14:textId="77777777"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3E565D0B" w14:textId="77777777"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23C4B03" w14:textId="77777777"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14:paraId="3F6BC9A0" w14:textId="77777777" w:rsidTr="00D03D18">
        <w:tc>
          <w:tcPr>
            <w:tcW w:w="2835" w:type="dxa"/>
            <w:shd w:val="clear" w:color="auto" w:fill="E7E6E6" w:themeFill="background2"/>
          </w:tcPr>
          <w:p w14:paraId="2E1667A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14:paraId="2C93B9B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14:paraId="3A48EDA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14:paraId="1AD2451D"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14:paraId="0FB21F6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EE1700" w:rsidRPr="00213C50" w14:paraId="0FECED25" w14:textId="77777777" w:rsidTr="00D03D18">
        <w:tc>
          <w:tcPr>
            <w:tcW w:w="2835" w:type="dxa"/>
          </w:tcPr>
          <w:p w14:paraId="2522C7BC"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14:paraId="42552B2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14:paraId="58651EF4"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3A6161CA"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14:paraId="44F1527B"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78F61930"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143144D8"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14:paraId="412AD66E"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710A23"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429EA1D4" w14:textId="2EC2AB18" w:rsidR="00EE1700" w:rsidRPr="00213C50" w:rsidRDefault="00475425" w:rsidP="00D03D18">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2800</w:t>
            </w:r>
          </w:p>
        </w:tc>
        <w:tc>
          <w:tcPr>
            <w:tcW w:w="1843" w:type="dxa"/>
          </w:tcPr>
          <w:p w14:paraId="5AB315EF"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5D5C73" w14:textId="1B8C8A54" w:rsidR="00EE1700" w:rsidRPr="00213C50" w:rsidRDefault="00EE1700" w:rsidP="003A57AA">
            <w:pPr>
              <w:autoSpaceDE w:val="0"/>
              <w:autoSpaceDN w:val="0"/>
              <w:adjustRightInd w:val="0"/>
              <w:ind w:right="23"/>
              <w:jc w:val="center"/>
              <w:rPr>
                <w:rFonts w:ascii="Times New Roman" w:hAnsi="Times New Roman"/>
                <w:color w:val="000000"/>
                <w:kern w:val="1"/>
                <w:lang w:eastAsia="ar-SA"/>
              </w:rPr>
            </w:pPr>
            <w:r w:rsidRPr="007A04D0">
              <w:rPr>
                <w:rFonts w:ascii="Times New Roman" w:hAnsi="Times New Roman"/>
                <w:color w:val="000000"/>
                <w:kern w:val="1"/>
                <w:lang w:eastAsia="ar-SA"/>
              </w:rPr>
              <w:t xml:space="preserve">до 31 </w:t>
            </w:r>
            <w:r w:rsidR="003A57AA" w:rsidRPr="007A04D0">
              <w:rPr>
                <w:rFonts w:ascii="Times New Roman" w:hAnsi="Times New Roman"/>
                <w:color w:val="000000"/>
                <w:kern w:val="1"/>
                <w:lang w:eastAsia="ar-SA"/>
              </w:rPr>
              <w:t>грудня</w:t>
            </w:r>
            <w:r w:rsidRPr="007A04D0">
              <w:rPr>
                <w:rFonts w:ascii="Times New Roman" w:hAnsi="Times New Roman"/>
                <w:color w:val="000000"/>
                <w:kern w:val="1"/>
                <w:lang w:eastAsia="ar-SA"/>
              </w:rPr>
              <w:t xml:space="preserve"> 2023 року включно</w:t>
            </w:r>
          </w:p>
        </w:tc>
        <w:tc>
          <w:tcPr>
            <w:tcW w:w="2551" w:type="dxa"/>
          </w:tcPr>
          <w:p w14:paraId="4FB06D7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3E641EDC"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200B358" w14:textId="2FED844F"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FA37B5">
              <w:rPr>
                <w:rFonts w:ascii="Times New Roman" w:hAnsi="Times New Roman"/>
                <w:kern w:val="1"/>
                <w:highlight w:val="lightGray"/>
                <w:lang w:eastAsia="ar-SA"/>
              </w:rPr>
              <w:t xml:space="preserve">м. Львів, вул. </w:t>
            </w:r>
            <w:r w:rsidR="00FA37B5">
              <w:rPr>
                <w:rFonts w:ascii="Times New Roman" w:hAnsi="Times New Roman"/>
                <w:color w:val="000000"/>
                <w:kern w:val="1"/>
                <w:lang w:eastAsia="ar-SA"/>
              </w:rPr>
              <w:t>Білогорща 23</w:t>
            </w:r>
          </w:p>
        </w:tc>
      </w:tr>
      <w:tr w:rsidR="00FA37B5" w:rsidRPr="00213C50" w14:paraId="33D10B3E" w14:textId="77777777" w:rsidTr="00D03D18">
        <w:tc>
          <w:tcPr>
            <w:tcW w:w="2835" w:type="dxa"/>
          </w:tcPr>
          <w:p w14:paraId="7F5A8B27" w14:textId="77777777" w:rsidR="00FA37B5" w:rsidRPr="00213C50" w:rsidRDefault="00FA37B5" w:rsidP="00D03D18">
            <w:pPr>
              <w:autoSpaceDE w:val="0"/>
              <w:autoSpaceDN w:val="0"/>
              <w:adjustRightInd w:val="0"/>
              <w:ind w:right="23"/>
              <w:jc w:val="center"/>
              <w:rPr>
                <w:rFonts w:ascii="Times New Roman" w:hAnsi="Times New Roman"/>
                <w:color w:val="000000"/>
                <w:kern w:val="1"/>
                <w:lang w:eastAsia="ar-SA"/>
              </w:rPr>
            </w:pPr>
          </w:p>
        </w:tc>
        <w:tc>
          <w:tcPr>
            <w:tcW w:w="1227" w:type="dxa"/>
          </w:tcPr>
          <w:p w14:paraId="4F995E30" w14:textId="77777777" w:rsidR="00FA37B5" w:rsidRPr="00213C50" w:rsidRDefault="00FA37B5" w:rsidP="00D03D18">
            <w:pPr>
              <w:autoSpaceDE w:val="0"/>
              <w:autoSpaceDN w:val="0"/>
              <w:adjustRightInd w:val="0"/>
              <w:ind w:right="23"/>
              <w:jc w:val="center"/>
              <w:rPr>
                <w:rFonts w:ascii="Times New Roman" w:hAnsi="Times New Roman"/>
                <w:color w:val="000000"/>
                <w:kern w:val="1"/>
                <w:lang w:eastAsia="ar-SA"/>
              </w:rPr>
            </w:pPr>
          </w:p>
        </w:tc>
        <w:tc>
          <w:tcPr>
            <w:tcW w:w="1325" w:type="dxa"/>
          </w:tcPr>
          <w:p w14:paraId="49BF3D91" w14:textId="77777777" w:rsidR="00FA37B5" w:rsidRPr="00213C50" w:rsidRDefault="00FA37B5" w:rsidP="00D03D18">
            <w:pPr>
              <w:autoSpaceDE w:val="0"/>
              <w:autoSpaceDN w:val="0"/>
              <w:adjustRightInd w:val="0"/>
              <w:ind w:right="23"/>
              <w:jc w:val="center"/>
              <w:rPr>
                <w:rFonts w:ascii="Times New Roman" w:hAnsi="Times New Roman"/>
                <w:color w:val="000000"/>
                <w:kern w:val="1"/>
                <w:lang w:eastAsia="ar-SA"/>
              </w:rPr>
            </w:pPr>
          </w:p>
        </w:tc>
        <w:tc>
          <w:tcPr>
            <w:tcW w:w="1843" w:type="dxa"/>
          </w:tcPr>
          <w:p w14:paraId="48A9AD41" w14:textId="77777777" w:rsidR="00FA37B5" w:rsidRPr="00213C50" w:rsidRDefault="00FA37B5" w:rsidP="00D03D18">
            <w:pPr>
              <w:autoSpaceDE w:val="0"/>
              <w:autoSpaceDN w:val="0"/>
              <w:adjustRightInd w:val="0"/>
              <w:ind w:right="23"/>
              <w:jc w:val="center"/>
              <w:rPr>
                <w:rFonts w:ascii="Times New Roman" w:hAnsi="Times New Roman"/>
                <w:color w:val="000000"/>
                <w:kern w:val="1"/>
                <w:lang w:eastAsia="ar-SA"/>
              </w:rPr>
            </w:pPr>
          </w:p>
        </w:tc>
        <w:tc>
          <w:tcPr>
            <w:tcW w:w="2551" w:type="dxa"/>
          </w:tcPr>
          <w:p w14:paraId="30687EB1" w14:textId="77777777" w:rsidR="00FA37B5" w:rsidRPr="00213C50" w:rsidRDefault="00FA37B5" w:rsidP="00D03D18">
            <w:pPr>
              <w:autoSpaceDE w:val="0"/>
              <w:autoSpaceDN w:val="0"/>
              <w:adjustRightInd w:val="0"/>
              <w:ind w:right="23"/>
              <w:jc w:val="center"/>
              <w:rPr>
                <w:rFonts w:ascii="Times New Roman" w:hAnsi="Times New Roman"/>
                <w:color w:val="000000"/>
                <w:kern w:val="1"/>
                <w:lang w:eastAsia="ar-SA"/>
              </w:rPr>
            </w:pPr>
          </w:p>
        </w:tc>
      </w:tr>
    </w:tbl>
    <w:p w14:paraId="0F52646F"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66E3AE72"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За розрахункову одиницю газу приймається один метр кубічний (м3), приведений до стандартних умов: температура (t) 293,18 К (20оС), тиск газу (Р) 101,325 кПа (760 мм рт. ст.).</w:t>
      </w:r>
    </w:p>
    <w:p w14:paraId="47A82720"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14:paraId="18F1DD0E"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76EBE8CD" w14:textId="0E690AF4" w:rsidR="000E72E2"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FA37B5">
        <w:rPr>
          <w:rFonts w:ascii="Times New Roman" w:hAnsi="Times New Roman" w:cs="Times New Roman"/>
        </w:rPr>
        <w:t>–</w:t>
      </w:r>
      <w:r w:rsidR="009F4FD2" w:rsidRPr="00C07553">
        <w:rPr>
          <w:rFonts w:ascii="Times New Roman" w:hAnsi="Times New Roman" w:cs="Times New Roman"/>
        </w:rPr>
        <w:t xml:space="preserve"> </w:t>
      </w:r>
      <w:r w:rsidR="00475425">
        <w:rPr>
          <w:rFonts w:ascii="Times New Roman" w:hAnsi="Times New Roman" w:cs="Times New Roman"/>
        </w:rPr>
        <w:t>4635</w:t>
      </w:r>
      <w:r w:rsidR="00063ACA">
        <w:rPr>
          <w:rFonts w:ascii="Times New Roman" w:hAnsi="Times New Roman" w:cs="Times New Roman"/>
        </w:rPr>
        <w:t>0,9</w:t>
      </w:r>
      <w:r w:rsidR="00FA37B5">
        <w:rPr>
          <w:rFonts w:ascii="Times New Roman" w:hAnsi="Times New Roman" w:cs="Times New Roman"/>
        </w:rPr>
        <w:t>0</w:t>
      </w:r>
      <w:r w:rsidR="006A2D19" w:rsidRPr="006A2D19">
        <w:rPr>
          <w:rFonts w:ascii="Times New Roman" w:hAnsi="Times New Roman" w:cs="Times New Roman"/>
        </w:rPr>
        <w:t xml:space="preserve"> з ПДВ</w:t>
      </w:r>
    </w:p>
    <w:p w14:paraId="4B5ED724" w14:textId="0F3169CE" w:rsidR="006D21F7" w:rsidRPr="007A04D0" w:rsidRDefault="000E72E2" w:rsidP="00077AB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14:paraId="54AE770B" w14:textId="0F1424A2" w:rsidR="000E72E2" w:rsidRPr="007A04D0" w:rsidRDefault="000E72E2" w:rsidP="000E72E2">
      <w:pPr>
        <w:autoSpaceDE w:val="0"/>
        <w:autoSpaceDN w:val="0"/>
        <w:adjustRightInd w:val="0"/>
        <w:spacing w:after="0" w:line="240" w:lineRule="auto"/>
        <w:ind w:left="-142" w:right="23" w:firstLine="709"/>
        <w:jc w:val="both"/>
        <w:rPr>
          <w:rFonts w:ascii="Times New Roman" w:hAnsi="Times New Roman" w:cs="Times New Roman"/>
        </w:rPr>
      </w:pPr>
      <w:r w:rsidRPr="007A04D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w:t>
      </w:r>
      <w:r w:rsidR="00077AB0" w:rsidRPr="007A04D0">
        <w:rPr>
          <w:rFonts w:ascii="Times New Roman" w:hAnsi="Times New Roman" w:cs="Times New Roman"/>
        </w:rPr>
        <w:t xml:space="preserve"> яка регулювала питання закупівлі газу на пільгових умовах </w:t>
      </w:r>
      <w:r w:rsidRPr="007A04D0">
        <w:rPr>
          <w:rFonts w:ascii="Times New Roman" w:hAnsi="Times New Roman" w:cs="Times New Roman"/>
        </w:rPr>
        <w:t xml:space="preserve"> </w:t>
      </w:r>
      <w:r w:rsidR="00077AB0" w:rsidRPr="007A04D0">
        <w:rPr>
          <w:rFonts w:ascii="Times New Roman" w:hAnsi="Times New Roman" w:cs="Times New Roman"/>
        </w:rPr>
        <w:t>діє до 31.</w:t>
      </w:r>
      <w:r w:rsidR="00475425">
        <w:rPr>
          <w:rFonts w:ascii="Times New Roman" w:hAnsi="Times New Roman" w:cs="Times New Roman"/>
        </w:rPr>
        <w:t>12</w:t>
      </w:r>
      <w:r w:rsidR="00077AB0" w:rsidRPr="007A04D0">
        <w:rPr>
          <w:rFonts w:ascii="Times New Roman" w:hAnsi="Times New Roman" w:cs="Times New Roman"/>
        </w:rPr>
        <w:t>.2023р.</w:t>
      </w:r>
    </w:p>
    <w:p w14:paraId="01175AC3" w14:textId="7E325C1B" w:rsidR="006D21F7" w:rsidRPr="006D21F7" w:rsidRDefault="006D21F7" w:rsidP="006D21F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Станом на сьогодні урядом не прийнято рішення про продовження пільгового періоду закупівлі природного газу за зниженою ціною для бюджетних установ. В Замовника залишається потреба у здійсненні закупівлі природнього газу для функціонування та підтримання життєдіяльності установи. Тому очікувана вартість закупівлі  розрахована відповідно до цін запропонованих на ринку з урахуванням даних системи електронних закупівель Prozorro.</w:t>
      </w:r>
    </w:p>
    <w:p w14:paraId="47F1DE6C" w14:textId="660DB2EE" w:rsidR="00EE1700" w:rsidRPr="00213C50" w:rsidRDefault="00EE1700" w:rsidP="0028739D">
      <w:pPr>
        <w:spacing w:after="0" w:line="240" w:lineRule="auto"/>
        <w:jc w:val="both"/>
        <w:rPr>
          <w:rFonts w:ascii="Times New Roman" w:hAnsi="Times New Roman" w:cs="Times New Roman"/>
        </w:rPr>
      </w:pPr>
      <w:r w:rsidRPr="00213C50">
        <w:rPr>
          <w:rFonts w:ascii="Times New Roman" w:hAnsi="Times New Roman" w:cs="Times New Roman"/>
        </w:rPr>
        <w:t>Нормативно-правові акти:</w:t>
      </w:r>
    </w:p>
    <w:p w14:paraId="24EEB79E"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14:paraId="7506EED4"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lastRenderedPageBreak/>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26053154"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14:paraId="3042362A"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14:paraId="7724AA25"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20CA72FD" w14:textId="77777777" w:rsidR="00EE1700" w:rsidRDefault="00EE1700" w:rsidP="00731BA0">
      <w:pPr>
        <w:spacing w:after="0" w:line="240" w:lineRule="auto"/>
        <w:jc w:val="both"/>
        <w:rPr>
          <w:rFonts w:ascii="Times New Roman" w:hAnsi="Times New Roman" w:cs="Times New Roman"/>
        </w:rPr>
      </w:pPr>
    </w:p>
    <w:p w14:paraId="11AA1F71" w14:textId="77777777" w:rsidR="00EE1700" w:rsidRDefault="00EE1700" w:rsidP="00731BA0">
      <w:pPr>
        <w:spacing w:after="0" w:line="240" w:lineRule="auto"/>
        <w:jc w:val="both"/>
        <w:rPr>
          <w:rFonts w:ascii="Times New Roman" w:hAnsi="Times New Roman" w:cs="Times New Roman"/>
        </w:rPr>
      </w:pPr>
    </w:p>
    <w:p w14:paraId="4684E91F" w14:textId="77777777" w:rsidR="00EE1700" w:rsidRPr="00C07553" w:rsidRDefault="00EE1700" w:rsidP="00731BA0">
      <w:pPr>
        <w:spacing w:after="0" w:line="240" w:lineRule="auto"/>
        <w:jc w:val="both"/>
        <w:rPr>
          <w:rFonts w:ascii="Times New Roman" w:hAnsi="Times New Roman" w:cs="Times New Roman"/>
        </w:rPr>
      </w:pPr>
    </w:p>
    <w:p w14:paraId="73F03781" w14:textId="77777777" w:rsidR="004E489E" w:rsidRDefault="004E489E" w:rsidP="00301BC7">
      <w:pPr>
        <w:spacing w:after="0" w:line="240" w:lineRule="auto"/>
        <w:ind w:firstLine="567"/>
        <w:jc w:val="both"/>
        <w:rPr>
          <w:rFonts w:ascii="Times New Roman" w:hAnsi="Times New Roman" w:cs="Times New Roman"/>
        </w:rPr>
      </w:pPr>
    </w:p>
    <w:p w14:paraId="618E499F" w14:textId="6BB96B2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r w:rsidR="001804FF">
        <w:rPr>
          <w:rFonts w:ascii="Times New Roman" w:eastAsia="Times New Roman" w:hAnsi="Times New Roman"/>
          <w:lang w:eastAsia="ru-RU"/>
        </w:rPr>
        <w:t>Олександр ІГНАТЕНКО</w:t>
      </w:r>
      <w:r>
        <w:rPr>
          <w:rFonts w:ascii="Times New Roman" w:eastAsia="Times New Roman" w:hAnsi="Times New Roman"/>
          <w:lang w:eastAsia="ru-RU"/>
        </w:rPr>
        <w:t xml:space="preserve">    </w:t>
      </w:r>
    </w:p>
    <w:p w14:paraId="2AAB390C"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мп)                                                                                                                                                           </w:t>
      </w:r>
    </w:p>
    <w:p w14:paraId="05B84480"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32026336">
    <w:abstractNumId w:val="0"/>
  </w:num>
  <w:num w:numId="2" w16cid:durableId="555706930">
    <w:abstractNumId w:val="1"/>
  </w:num>
  <w:num w:numId="3" w16cid:durableId="201132532">
    <w:abstractNumId w:val="3"/>
  </w:num>
  <w:num w:numId="4" w16cid:durableId="1078097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93"/>
    <w:rsid w:val="00041F96"/>
    <w:rsid w:val="00063ACA"/>
    <w:rsid w:val="00077AB0"/>
    <w:rsid w:val="000A1A51"/>
    <w:rsid w:val="000A6FF8"/>
    <w:rsid w:val="000B5D90"/>
    <w:rsid w:val="000E72E2"/>
    <w:rsid w:val="001804FF"/>
    <w:rsid w:val="00237F0F"/>
    <w:rsid w:val="0028739D"/>
    <w:rsid w:val="00301BC7"/>
    <w:rsid w:val="00305EE4"/>
    <w:rsid w:val="00377E08"/>
    <w:rsid w:val="003A57AA"/>
    <w:rsid w:val="003A5FEF"/>
    <w:rsid w:val="003D3B1D"/>
    <w:rsid w:val="00475425"/>
    <w:rsid w:val="004B3B8A"/>
    <w:rsid w:val="004E489E"/>
    <w:rsid w:val="00556ABA"/>
    <w:rsid w:val="00683DDC"/>
    <w:rsid w:val="006A2D19"/>
    <w:rsid w:val="006B1DA6"/>
    <w:rsid w:val="006D21F7"/>
    <w:rsid w:val="00731BA0"/>
    <w:rsid w:val="007732E7"/>
    <w:rsid w:val="007A04D0"/>
    <w:rsid w:val="007A50F1"/>
    <w:rsid w:val="00825693"/>
    <w:rsid w:val="00860DBF"/>
    <w:rsid w:val="00946CE0"/>
    <w:rsid w:val="009C1FAD"/>
    <w:rsid w:val="009F4FD2"/>
    <w:rsid w:val="00A81052"/>
    <w:rsid w:val="00AB0DFA"/>
    <w:rsid w:val="00AF59B1"/>
    <w:rsid w:val="00B16C66"/>
    <w:rsid w:val="00B33343"/>
    <w:rsid w:val="00BF6BFF"/>
    <w:rsid w:val="00C07553"/>
    <w:rsid w:val="00C83BBE"/>
    <w:rsid w:val="00C863AE"/>
    <w:rsid w:val="00CA42A4"/>
    <w:rsid w:val="00CB29B7"/>
    <w:rsid w:val="00D15CC3"/>
    <w:rsid w:val="00EE1700"/>
    <w:rsid w:val="00F074E8"/>
    <w:rsid w:val="00F6589F"/>
    <w:rsid w:val="00FA37B5"/>
    <w:rsid w:val="00FE06A6"/>
    <w:rsid w:val="00FF4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F450"/>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9295">
      <w:bodyDiv w:val="1"/>
      <w:marLeft w:val="0"/>
      <w:marRight w:val="0"/>
      <w:marTop w:val="0"/>
      <w:marBottom w:val="0"/>
      <w:divBdr>
        <w:top w:val="none" w:sz="0" w:space="0" w:color="auto"/>
        <w:left w:val="none" w:sz="0" w:space="0" w:color="auto"/>
        <w:bottom w:val="none" w:sz="0" w:space="0" w:color="auto"/>
        <w:right w:val="none" w:sz="0" w:space="0" w:color="auto"/>
      </w:divBdr>
      <w:divsChild>
        <w:div w:id="110247090">
          <w:marLeft w:val="0"/>
          <w:marRight w:val="0"/>
          <w:marTop w:val="0"/>
          <w:marBottom w:val="150"/>
          <w:divBdr>
            <w:top w:val="none" w:sz="0" w:space="0" w:color="auto"/>
            <w:left w:val="none" w:sz="0" w:space="0" w:color="auto"/>
            <w:bottom w:val="none" w:sz="0" w:space="0" w:color="auto"/>
            <w:right w:val="none" w:sz="0" w:space="0" w:color="auto"/>
          </w:divBdr>
        </w:div>
      </w:divsChild>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Props1.xml><?xml version="1.0" encoding="utf-8"?>
<ds:datastoreItem xmlns:ds="http://schemas.openxmlformats.org/officeDocument/2006/customXml" ds:itemID="{807837A3-E630-4BD7-AC55-695A8E36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2924</Words>
  <Characters>1667</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Світлана Волошин</cp:lastModifiedBy>
  <cp:revision>6</cp:revision>
  <dcterms:created xsi:type="dcterms:W3CDTF">2023-03-27T12:43:00Z</dcterms:created>
  <dcterms:modified xsi:type="dcterms:W3CDTF">2023-09-15T06:25:00Z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y fmtid="{D5CDD505-2E9C-101B-9397-08002B2CF9AE}" pid="3" name="MediaServiceImageTags">
    <vt:lpwstr/>
  </property>
</Properties>
</file>