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DB2" w:rsidRPr="00D82DB2" w:rsidRDefault="00D82DB2" w:rsidP="00D82DB2">
      <w:pPr>
        <w:jc w:val="center"/>
        <w:rPr>
          <w:rFonts w:ascii="Times New Roman" w:hAnsi="Times New Roman" w:cs="Times New Roman"/>
          <w:b/>
          <w:color w:val="000000" w:themeColor="text1"/>
          <w:sz w:val="24"/>
          <w:szCs w:val="24"/>
          <w:shd w:val="clear" w:color="auto" w:fill="FFFFFF"/>
        </w:rPr>
      </w:pPr>
      <w:r w:rsidRPr="00D82DB2">
        <w:rPr>
          <w:rFonts w:ascii="Times New Roman" w:hAnsi="Times New Roman" w:cs="Times New Roman"/>
          <w:b/>
          <w:color w:val="000000" w:themeColor="text1"/>
          <w:sz w:val="24"/>
          <w:szCs w:val="24"/>
          <w:shd w:val="clear" w:color="auto" w:fill="FFFFFF"/>
        </w:rPr>
        <w:t>Обґрунтування</w:t>
      </w:r>
    </w:p>
    <w:p w:rsidR="00D82DB2" w:rsidRPr="00D82DB2" w:rsidRDefault="00D82DB2" w:rsidP="00D82DB2">
      <w:pPr>
        <w:jc w:val="center"/>
        <w:rPr>
          <w:rFonts w:ascii="Times New Roman" w:hAnsi="Times New Roman" w:cs="Times New Roman"/>
          <w:b/>
          <w:color w:val="000000" w:themeColor="text1"/>
          <w:sz w:val="24"/>
          <w:szCs w:val="24"/>
          <w:shd w:val="clear" w:color="auto" w:fill="FFFFFF"/>
        </w:rPr>
      </w:pPr>
      <w:r w:rsidRPr="00D82DB2">
        <w:rPr>
          <w:rFonts w:ascii="Times New Roman" w:hAnsi="Times New Roman" w:cs="Times New Roman"/>
          <w:b/>
          <w:color w:val="000000" w:themeColor="text1"/>
          <w:sz w:val="24"/>
          <w:szCs w:val="24"/>
          <w:shd w:val="clear" w:color="auto" w:fill="FFFFFF"/>
        </w:rPr>
        <w:t>технічних та якісних характеристик предмета закупівлі, його очікуваної вартості та/або розміру бюджетного призначення в межах закупівлі</w:t>
      </w:r>
    </w:p>
    <w:p w:rsidR="00D82DB2" w:rsidRPr="00D82DB2" w:rsidRDefault="00D82DB2" w:rsidP="00D82DB2">
      <w:pPr>
        <w:jc w:val="center"/>
        <w:rPr>
          <w:rFonts w:ascii="Times New Roman" w:hAnsi="Times New Roman" w:cs="Times New Roman"/>
          <w:color w:val="000000" w:themeColor="text1"/>
          <w:sz w:val="24"/>
          <w:szCs w:val="24"/>
          <w:shd w:val="clear" w:color="auto" w:fill="FFFFFF"/>
        </w:rPr>
      </w:pPr>
      <w:r w:rsidRPr="00D82DB2">
        <w:rPr>
          <w:rFonts w:ascii="Times New Roman" w:hAnsi="Times New Roman" w:cs="Times New Roman"/>
          <w:b/>
          <w:color w:val="000000" w:themeColor="text1"/>
          <w:sz w:val="24"/>
          <w:szCs w:val="24"/>
          <w:shd w:val="clear" w:color="auto" w:fill="FFFFFF"/>
        </w:rPr>
        <w:t xml:space="preserve">№ </w:t>
      </w:r>
      <w:hyperlink r:id="rId6" w:tooltip="UA-2023-09-18-013297-a" w:history="1">
        <w:r w:rsidRPr="00D82DB2">
          <w:rPr>
            <w:rFonts w:ascii="Times New Roman" w:hAnsi="Times New Roman" w:cs="Times New Roman"/>
            <w:b/>
            <w:color w:val="000000" w:themeColor="text1"/>
            <w:sz w:val="24"/>
            <w:szCs w:val="24"/>
            <w:shd w:val="clear" w:color="auto" w:fill="FFFFFF"/>
          </w:rPr>
          <w:t>UA-2023-09-18-013297-a</w:t>
        </w:r>
      </w:hyperlink>
    </w:p>
    <w:p w:rsidR="00D82DB2" w:rsidRPr="00D82DB2" w:rsidRDefault="00D82DB2" w:rsidP="00D82DB2">
      <w:pPr>
        <w:jc w:val="both"/>
        <w:rPr>
          <w:rFonts w:ascii="Times New Roman" w:hAnsi="Times New Roman" w:cs="Times New Roman"/>
          <w:color w:val="000000" w:themeColor="text1"/>
          <w:sz w:val="24"/>
          <w:szCs w:val="24"/>
          <w:shd w:val="clear" w:color="auto" w:fill="FFFFFF"/>
        </w:rPr>
      </w:pPr>
    </w:p>
    <w:p w:rsidR="00D82DB2" w:rsidRPr="00D82DB2" w:rsidRDefault="00D82DB2" w:rsidP="00D82DB2">
      <w:pPr>
        <w:jc w:val="both"/>
        <w:rPr>
          <w:rFonts w:ascii="Times New Roman" w:hAnsi="Times New Roman" w:cs="Times New Roman"/>
          <w:color w:val="000000" w:themeColor="text1"/>
          <w:sz w:val="24"/>
          <w:szCs w:val="24"/>
          <w:shd w:val="clear" w:color="auto" w:fill="FFFFFF"/>
        </w:rPr>
      </w:pPr>
      <w:r w:rsidRPr="00D82DB2">
        <w:rPr>
          <w:rFonts w:ascii="Times New Roman" w:hAnsi="Times New Roman" w:cs="Times New Roman"/>
          <w:b/>
          <w:color w:val="000000" w:themeColor="text1"/>
          <w:sz w:val="24"/>
          <w:szCs w:val="24"/>
          <w:shd w:val="clear" w:color="auto" w:fill="FFFFFF"/>
        </w:rPr>
        <w:t>Підстава для публікації обґрунтування:</w:t>
      </w:r>
      <w:r w:rsidRPr="00D82DB2">
        <w:rPr>
          <w:rFonts w:ascii="Times New Roman" w:hAnsi="Times New Roman" w:cs="Times New Roman"/>
          <w:color w:val="000000" w:themeColor="text1"/>
          <w:sz w:val="24"/>
          <w:szCs w:val="24"/>
          <w:shd w:val="clear" w:color="auto" w:fill="FFFFFF"/>
        </w:rPr>
        <w:t xml:space="preserve"> на виконання постанови КМУ від 11 жовтня 2016 р. № 710 «Про ефективне використання державних коштів» (зі змінами) у зв’язку із необхідністю проведення закупівлі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сайті головного органу).</w:t>
      </w:r>
    </w:p>
    <w:p w:rsidR="002272D0" w:rsidRPr="002272D0" w:rsidRDefault="00D82DB2" w:rsidP="002272D0">
      <w:pPr>
        <w:spacing w:after="0" w:line="240" w:lineRule="auto"/>
        <w:jc w:val="both"/>
        <w:rPr>
          <w:rFonts w:ascii="Times New Roman" w:hAnsi="Times New Roman" w:cs="Times New Roman"/>
          <w:color w:val="000000" w:themeColor="text1"/>
          <w:sz w:val="24"/>
          <w:szCs w:val="24"/>
          <w:shd w:val="clear" w:color="auto" w:fill="FFFFFF"/>
        </w:rPr>
      </w:pPr>
      <w:r w:rsidRPr="00D82DB2">
        <w:rPr>
          <w:rFonts w:ascii="Times New Roman" w:eastAsia="Times New Roman" w:hAnsi="Times New Roman" w:cs="Times New Roman"/>
          <w:b/>
          <w:color w:val="000000" w:themeColor="text1"/>
          <w:sz w:val="24"/>
          <w:szCs w:val="24"/>
          <w:lang w:eastAsia="ru-RU"/>
        </w:rPr>
        <w:t>Мета проведення закупівлі</w:t>
      </w:r>
      <w:r w:rsidRPr="00D82DB2">
        <w:rPr>
          <w:rFonts w:ascii="Times New Roman" w:eastAsia="Times New Roman" w:hAnsi="Times New Roman" w:cs="Times New Roman"/>
          <w:color w:val="000000" w:themeColor="text1"/>
          <w:sz w:val="24"/>
          <w:szCs w:val="24"/>
          <w:lang w:eastAsia="ru-RU"/>
        </w:rPr>
        <w:t xml:space="preserve">: </w:t>
      </w:r>
      <w:r w:rsidR="002272D0" w:rsidRPr="002272D0">
        <w:rPr>
          <w:rFonts w:ascii="Times New Roman" w:hAnsi="Times New Roman" w:cs="Times New Roman"/>
          <w:color w:val="000000" w:themeColor="text1"/>
          <w:sz w:val="24"/>
          <w:szCs w:val="24"/>
          <w:shd w:val="clear" w:color="auto" w:fill="FFFFFF"/>
        </w:rPr>
        <w:t>Забезпечення критичній серверній інфраструктурі Львівської міської ради програмного комплексу, що надає відомості про існуючі вразливості операційних систем, програмних продуктів та їх виправлення, централізовано завантажувати та встановлювати потрібні пакети оновлень на системи ІТ-інфраструктури Львівської міської ради (портали, сайти), а також забезпечує сканування веб додатків на наявність можливих небезпек щодо їх зламу та надає інструкції розробнику щодо їх виявлення.</w:t>
      </w:r>
    </w:p>
    <w:p w:rsidR="002272D0" w:rsidRPr="004920A5" w:rsidRDefault="002272D0" w:rsidP="002272D0">
      <w:pPr>
        <w:spacing w:after="0" w:line="240" w:lineRule="auto"/>
        <w:jc w:val="both"/>
        <w:rPr>
          <w:rFonts w:ascii="Times New Roman" w:eastAsia="Times New Roman" w:hAnsi="Times New Roman" w:cs="Times New Roman"/>
          <w:noProof/>
          <w:sz w:val="26"/>
          <w:szCs w:val="26"/>
          <w:lang w:eastAsia="uk-UA"/>
        </w:rPr>
      </w:pPr>
    </w:p>
    <w:p w:rsidR="00D82DB2" w:rsidRPr="00D82DB2" w:rsidRDefault="00D82DB2" w:rsidP="00D82DB2">
      <w:pPr>
        <w:jc w:val="both"/>
        <w:rPr>
          <w:rFonts w:ascii="Times New Roman" w:hAnsi="Times New Roman" w:cs="Times New Roman"/>
          <w:i/>
          <w:color w:val="000000" w:themeColor="text1"/>
          <w:sz w:val="24"/>
          <w:szCs w:val="24"/>
        </w:rPr>
      </w:pPr>
      <w:r w:rsidRPr="00D82DB2">
        <w:rPr>
          <w:rFonts w:ascii="Times New Roman" w:hAnsi="Times New Roman" w:cs="Times New Roman"/>
          <w:i/>
          <w:color w:val="000000" w:themeColor="text1"/>
          <w:sz w:val="24"/>
          <w:szCs w:val="24"/>
        </w:rPr>
        <w:t>Відповідно до ухвали міської ради від 08.07.2021 №1081 «Про розмежування повноважень між виконавчими органами Львівської міської ради», ухвали міської ради від 25.02.2021 № 85 “</w:t>
      </w:r>
      <w:r w:rsidRPr="00D82DB2">
        <w:rPr>
          <w:rFonts w:ascii="Times New Roman" w:hAnsi="Times New Roman" w:cs="Times New Roman"/>
          <w:bCs/>
          <w:i/>
          <w:color w:val="000000" w:themeColor="text1"/>
          <w:sz w:val="24"/>
          <w:szCs w:val="24"/>
        </w:rPr>
        <w:t>Про затвердження Програми цифрового перетворення Львівської міської територіальної громади на 2021-2025 роки</w:t>
      </w:r>
      <w:r w:rsidRPr="00D82DB2">
        <w:rPr>
          <w:rFonts w:ascii="Times New Roman" w:hAnsi="Times New Roman" w:cs="Times New Roman"/>
          <w:i/>
          <w:color w:val="000000" w:themeColor="text1"/>
          <w:sz w:val="24"/>
          <w:szCs w:val="24"/>
        </w:rPr>
        <w:t>“ (зі змінами), Положення про управління інформаційних технологій департаменту економічного розвитку Львівської міської ради, затвердженого рішенням виконавчого комітету від 24.09.2021 № 831, задля забезпечення систем технічного захисту інформації у виконавчих органах Львівської міської ради, оновлення, консолідації та уніфікації програмних та технічних ресурсів для забезпечення гнучкості їх використання та надійної роботи інформаційно-комунікаційної інфраструктури прийнято рішення виконавчого комітету Львівської міської ради №497 від 04.07.2022 «Про забезпечення виконавчих органів Львівської міської ради ліцензійним програмним забезпеченням».</w:t>
      </w:r>
    </w:p>
    <w:p w:rsidR="00D82DB2" w:rsidRPr="00D82DB2" w:rsidRDefault="00D82DB2" w:rsidP="00D82DB2">
      <w:pPr>
        <w:jc w:val="both"/>
        <w:rPr>
          <w:rFonts w:ascii="Times New Roman" w:hAnsi="Times New Roman" w:cs="Times New Roman"/>
          <w:color w:val="000000" w:themeColor="text1"/>
          <w:sz w:val="24"/>
          <w:szCs w:val="24"/>
          <w:shd w:val="clear" w:color="auto" w:fill="FFFFFF"/>
        </w:rPr>
      </w:pPr>
      <w:r w:rsidRPr="00D82DB2">
        <w:rPr>
          <w:rFonts w:ascii="Times New Roman" w:hAnsi="Times New Roman" w:cs="Times New Roman"/>
          <w:b/>
          <w:color w:val="000000" w:themeColor="text1"/>
          <w:sz w:val="24"/>
          <w:szCs w:val="24"/>
          <w:shd w:val="clear" w:color="auto" w:fill="FFFFFF"/>
        </w:rPr>
        <w:t>Замовник:</w:t>
      </w:r>
      <w:r w:rsidRPr="00D82DB2">
        <w:rPr>
          <w:rFonts w:ascii="Times New Roman" w:hAnsi="Times New Roman" w:cs="Times New Roman"/>
          <w:color w:val="000000" w:themeColor="text1"/>
          <w:sz w:val="24"/>
          <w:szCs w:val="24"/>
          <w:shd w:val="clear" w:color="auto" w:fill="FFFFFF"/>
        </w:rPr>
        <w:t xml:space="preserve"> Управління інформаційних технологій департаменту економічного розвитку Львівської міської ради</w:t>
      </w:r>
    </w:p>
    <w:p w:rsidR="00D82DB2" w:rsidRPr="00D82DB2" w:rsidRDefault="00D82DB2" w:rsidP="00D82DB2">
      <w:pPr>
        <w:jc w:val="both"/>
        <w:rPr>
          <w:rFonts w:ascii="Times New Roman" w:hAnsi="Times New Roman" w:cs="Times New Roman"/>
          <w:bCs/>
          <w:color w:val="000000" w:themeColor="text1"/>
          <w:sz w:val="24"/>
          <w:szCs w:val="24"/>
        </w:rPr>
      </w:pPr>
      <w:r w:rsidRPr="00D82DB2">
        <w:rPr>
          <w:rFonts w:ascii="Times New Roman" w:hAnsi="Times New Roman" w:cs="Times New Roman"/>
          <w:b/>
          <w:color w:val="000000" w:themeColor="text1"/>
          <w:sz w:val="24"/>
          <w:szCs w:val="24"/>
          <w:shd w:val="clear" w:color="auto" w:fill="FFFFFF"/>
        </w:rPr>
        <w:t>ЄДРПОУ:</w:t>
      </w:r>
      <w:r w:rsidRPr="00D82DB2">
        <w:rPr>
          <w:rFonts w:ascii="Times New Roman" w:hAnsi="Times New Roman" w:cs="Times New Roman"/>
          <w:color w:val="000000" w:themeColor="text1"/>
          <w:sz w:val="24"/>
          <w:szCs w:val="24"/>
          <w:shd w:val="clear" w:color="auto" w:fill="FFFFFF"/>
        </w:rPr>
        <w:t xml:space="preserve"> </w:t>
      </w:r>
      <w:r w:rsidRPr="00D82DB2">
        <w:rPr>
          <w:rFonts w:ascii="Times New Roman" w:hAnsi="Times New Roman" w:cs="Times New Roman"/>
          <w:bCs/>
          <w:color w:val="000000" w:themeColor="text1"/>
          <w:sz w:val="24"/>
          <w:szCs w:val="24"/>
        </w:rPr>
        <w:t>44448866</w:t>
      </w:r>
    </w:p>
    <w:p w:rsidR="00D82DB2" w:rsidRPr="00D82DB2" w:rsidRDefault="00D82DB2" w:rsidP="00D82DB2">
      <w:pPr>
        <w:rPr>
          <w:rFonts w:ascii="Times New Roman" w:hAnsi="Times New Roman" w:cs="Times New Roman"/>
          <w:color w:val="000000" w:themeColor="text1"/>
          <w:sz w:val="24"/>
          <w:szCs w:val="24"/>
          <w:shd w:val="clear" w:color="auto" w:fill="FFFFFF"/>
        </w:rPr>
      </w:pPr>
      <w:r w:rsidRPr="00D82DB2">
        <w:rPr>
          <w:rFonts w:ascii="Times New Roman" w:hAnsi="Times New Roman" w:cs="Times New Roman"/>
          <w:b/>
          <w:bCs/>
          <w:sz w:val="24"/>
          <w:szCs w:val="24"/>
        </w:rPr>
        <w:t xml:space="preserve">Ідентифікатор закупівлі: № </w:t>
      </w:r>
      <w:hyperlink r:id="rId7" w:tooltip="UA-2023-09-18-013297-a" w:history="1">
        <w:r w:rsidR="002272D0" w:rsidRPr="00D82DB2">
          <w:rPr>
            <w:rFonts w:ascii="Times New Roman" w:hAnsi="Times New Roman" w:cs="Times New Roman"/>
            <w:b/>
            <w:color w:val="000000" w:themeColor="text1"/>
            <w:sz w:val="24"/>
            <w:szCs w:val="24"/>
            <w:shd w:val="clear" w:color="auto" w:fill="FFFFFF"/>
          </w:rPr>
          <w:t>UA-2023-09-18-013297-a</w:t>
        </w:r>
      </w:hyperlink>
    </w:p>
    <w:p w:rsidR="00D82DB2" w:rsidRPr="00D82DB2" w:rsidRDefault="00D82DB2" w:rsidP="00D82DB2">
      <w:pPr>
        <w:jc w:val="both"/>
        <w:rPr>
          <w:rFonts w:ascii="Times New Roman" w:hAnsi="Times New Roman" w:cs="Times New Roman"/>
          <w:bCs/>
          <w:color w:val="000000" w:themeColor="text1"/>
          <w:sz w:val="24"/>
          <w:szCs w:val="24"/>
        </w:rPr>
      </w:pPr>
      <w:r w:rsidRPr="00D82DB2">
        <w:rPr>
          <w:rFonts w:ascii="Times New Roman" w:hAnsi="Times New Roman" w:cs="Times New Roman"/>
          <w:b/>
          <w:bCs/>
          <w:color w:val="000000" w:themeColor="text1"/>
          <w:sz w:val="24"/>
          <w:szCs w:val="24"/>
        </w:rPr>
        <w:t>Вид процедури:</w:t>
      </w:r>
      <w:r w:rsidRPr="00D82DB2">
        <w:rPr>
          <w:rFonts w:ascii="Times New Roman" w:hAnsi="Times New Roman" w:cs="Times New Roman"/>
          <w:bCs/>
          <w:color w:val="000000" w:themeColor="text1"/>
          <w:sz w:val="24"/>
          <w:szCs w:val="24"/>
        </w:rPr>
        <w:t xml:space="preserve"> відкриті торги з особливостями</w:t>
      </w:r>
    </w:p>
    <w:p w:rsidR="00D82DB2" w:rsidRPr="00D82DB2" w:rsidRDefault="00D82DB2" w:rsidP="002272D0">
      <w:pPr>
        <w:spacing w:after="0" w:line="240" w:lineRule="auto"/>
        <w:jc w:val="both"/>
        <w:outlineLvl w:val="1"/>
        <w:rPr>
          <w:rFonts w:ascii="Times New Roman" w:hAnsi="Times New Roman" w:cs="Times New Roman"/>
          <w:bCs/>
          <w:color w:val="000000" w:themeColor="text1"/>
          <w:sz w:val="24"/>
          <w:szCs w:val="24"/>
        </w:rPr>
      </w:pPr>
      <w:r w:rsidRPr="00D82DB2">
        <w:rPr>
          <w:rFonts w:ascii="Times New Roman" w:hAnsi="Times New Roman" w:cs="Times New Roman"/>
          <w:b/>
          <w:bCs/>
          <w:color w:val="000000" w:themeColor="text1"/>
          <w:sz w:val="24"/>
          <w:szCs w:val="24"/>
        </w:rPr>
        <w:t>Предмет закупівлі:</w:t>
      </w:r>
      <w:r w:rsidRPr="00D82DB2">
        <w:rPr>
          <w:rFonts w:ascii="Times New Roman" w:hAnsi="Times New Roman" w:cs="Times New Roman"/>
          <w:bCs/>
          <w:color w:val="000000" w:themeColor="text1"/>
          <w:sz w:val="24"/>
          <w:szCs w:val="24"/>
        </w:rPr>
        <w:t xml:space="preserve"> </w:t>
      </w:r>
      <w:r w:rsidRPr="002272D0">
        <w:rPr>
          <w:rFonts w:ascii="Times New Roman" w:hAnsi="Times New Roman" w:cs="Times New Roman"/>
          <w:bCs/>
          <w:color w:val="000000" w:themeColor="text1"/>
          <w:sz w:val="24"/>
          <w:szCs w:val="24"/>
        </w:rPr>
        <w:t xml:space="preserve">ДК 021:2015: </w:t>
      </w:r>
      <w:r w:rsidR="002272D0" w:rsidRPr="002272D0">
        <w:rPr>
          <w:rStyle w:val="normaltextrun"/>
          <w:rFonts w:ascii="Times New Roman" w:hAnsi="Times New Roman" w:cs="Times New Roman"/>
          <w:bCs/>
          <w:noProof/>
          <w:color w:val="000000" w:themeColor="text1"/>
          <w:sz w:val="24"/>
          <w:szCs w:val="24"/>
          <w:shd w:val="clear" w:color="auto" w:fill="FFFFFF"/>
        </w:rPr>
        <w:t xml:space="preserve">48730000-4 – Пакети програмного забезпечення </w:t>
      </w:r>
      <w:r w:rsidR="002272D0" w:rsidRPr="002272D0">
        <w:rPr>
          <w:rStyle w:val="normaltextrun"/>
          <w:rFonts w:ascii="Times New Roman" w:hAnsi="Times New Roman" w:cs="Times New Roman"/>
          <w:bCs/>
          <w:noProof/>
          <w:color w:val="000000" w:themeColor="text1"/>
          <w:sz w:val="24"/>
          <w:szCs w:val="24"/>
          <w:shd w:val="clear" w:color="auto" w:fill="FFFFFF"/>
        </w:rPr>
        <w:t>для забезпечення безпеки</w:t>
      </w:r>
      <w:r w:rsidR="002272D0">
        <w:rPr>
          <w:rStyle w:val="normaltextrun"/>
          <w:rFonts w:ascii="Times New Roman" w:hAnsi="Times New Roman" w:cs="Times New Roman"/>
          <w:bCs/>
          <w:noProof/>
          <w:color w:val="000000" w:themeColor="text1"/>
          <w:sz w:val="24"/>
          <w:szCs w:val="24"/>
          <w:shd w:val="clear" w:color="auto" w:fill="FFFFFF"/>
        </w:rPr>
        <w:t xml:space="preserve"> </w:t>
      </w:r>
      <w:r w:rsidRPr="00D82DB2">
        <w:rPr>
          <w:rFonts w:ascii="Times New Roman" w:hAnsi="Times New Roman" w:cs="Times New Roman"/>
          <w:bCs/>
          <w:color w:val="000000" w:themeColor="text1"/>
          <w:sz w:val="24"/>
          <w:szCs w:val="24"/>
        </w:rPr>
        <w:t>(Операція з постачання програмного забезпечення</w:t>
      </w:r>
      <w:r w:rsidR="002272D0">
        <w:rPr>
          <w:rFonts w:ascii="Times New Roman" w:hAnsi="Times New Roman" w:cs="Times New Roman"/>
          <w:bCs/>
          <w:color w:val="000000" w:themeColor="text1"/>
          <w:sz w:val="24"/>
          <w:szCs w:val="24"/>
        </w:rPr>
        <w:t xml:space="preserve"> для забезпечення безпеки</w:t>
      </w:r>
      <w:r w:rsidRPr="00D82DB2">
        <w:rPr>
          <w:rFonts w:ascii="Times New Roman" w:hAnsi="Times New Roman" w:cs="Times New Roman"/>
          <w:bCs/>
          <w:color w:val="000000" w:themeColor="text1"/>
          <w:sz w:val="24"/>
          <w:szCs w:val="24"/>
        </w:rPr>
        <w:t>)</w:t>
      </w:r>
    </w:p>
    <w:p w:rsidR="00D82DB2" w:rsidRPr="00D82DB2" w:rsidRDefault="00D82DB2" w:rsidP="00D82DB2">
      <w:pPr>
        <w:widowControl w:val="0"/>
        <w:suppressAutoHyphens/>
        <w:spacing w:after="0" w:line="276" w:lineRule="auto"/>
        <w:jc w:val="both"/>
        <w:rPr>
          <w:rFonts w:ascii="Times New Roman" w:hAnsi="Times New Roman" w:cs="Times New Roman"/>
          <w:color w:val="000000" w:themeColor="text1"/>
          <w:sz w:val="24"/>
          <w:szCs w:val="24"/>
          <w:shd w:val="clear" w:color="auto" w:fill="FFFFFF"/>
          <w:lang w:val="ru-RU"/>
        </w:rPr>
      </w:pPr>
    </w:p>
    <w:p w:rsidR="00D82DB2" w:rsidRPr="00D82DB2" w:rsidRDefault="00D82DB2" w:rsidP="00D82DB2">
      <w:pPr>
        <w:jc w:val="both"/>
        <w:rPr>
          <w:rFonts w:ascii="Times New Roman" w:hAnsi="Times New Roman" w:cs="Times New Roman"/>
        </w:rPr>
      </w:pPr>
      <w:r w:rsidRPr="00D82DB2">
        <w:rPr>
          <w:rFonts w:ascii="Times New Roman" w:hAnsi="Times New Roman" w:cs="Times New Roman"/>
          <w:b/>
          <w:color w:val="000000" w:themeColor="text1"/>
          <w:sz w:val="24"/>
          <w:szCs w:val="24"/>
          <w:shd w:val="clear" w:color="auto" w:fill="FFFFFF"/>
        </w:rPr>
        <w:t>Очікувана вартість предмета закупівлі:</w:t>
      </w:r>
      <w:r w:rsidRPr="00D82DB2">
        <w:rPr>
          <w:rFonts w:ascii="Times New Roman" w:hAnsi="Times New Roman" w:cs="Times New Roman"/>
          <w:color w:val="000000" w:themeColor="text1"/>
          <w:sz w:val="24"/>
          <w:szCs w:val="24"/>
          <w:shd w:val="clear" w:color="auto" w:fill="FFFFFF"/>
        </w:rPr>
        <w:t xml:space="preserve"> </w:t>
      </w:r>
      <w:r w:rsidR="002272D0">
        <w:rPr>
          <w:rFonts w:ascii="Times New Roman" w:hAnsi="Times New Roman" w:cs="Times New Roman"/>
          <w:color w:val="000000" w:themeColor="text1"/>
          <w:sz w:val="24"/>
          <w:szCs w:val="24"/>
          <w:shd w:val="clear" w:color="auto" w:fill="FFFFFF"/>
        </w:rPr>
        <w:t>550</w:t>
      </w:r>
      <w:r w:rsidRPr="00D82DB2">
        <w:rPr>
          <w:rFonts w:ascii="Times New Roman" w:hAnsi="Times New Roman" w:cs="Times New Roman"/>
          <w:color w:val="000000" w:themeColor="text1"/>
          <w:sz w:val="24"/>
          <w:szCs w:val="24"/>
          <w:shd w:val="clear" w:color="auto" w:fill="FFFFFF"/>
          <w:lang w:val="en-US"/>
        </w:rPr>
        <w:t> </w:t>
      </w:r>
      <w:r w:rsidRPr="00D82DB2">
        <w:rPr>
          <w:rFonts w:ascii="Times New Roman" w:hAnsi="Times New Roman" w:cs="Times New Roman"/>
          <w:color w:val="000000" w:themeColor="text1"/>
          <w:sz w:val="24"/>
          <w:szCs w:val="24"/>
          <w:shd w:val="clear" w:color="auto" w:fill="FFFFFF"/>
          <w:lang w:val="ru-RU"/>
        </w:rPr>
        <w:t>000</w:t>
      </w:r>
      <w:r w:rsidRPr="00D82DB2">
        <w:rPr>
          <w:rFonts w:ascii="Times New Roman" w:hAnsi="Times New Roman" w:cs="Times New Roman"/>
          <w:color w:val="000000" w:themeColor="text1"/>
          <w:sz w:val="24"/>
          <w:szCs w:val="24"/>
          <w:shd w:val="clear" w:color="auto" w:fill="FFFFFF"/>
        </w:rPr>
        <w:t>,00</w:t>
      </w:r>
      <w:r w:rsidR="002272D0">
        <w:rPr>
          <w:rFonts w:ascii="Times New Roman" w:hAnsi="Times New Roman" w:cs="Times New Roman"/>
          <w:sz w:val="24"/>
          <w:szCs w:val="24"/>
        </w:rPr>
        <w:t xml:space="preserve"> грн. </w:t>
      </w:r>
      <w:r w:rsidRPr="00D82DB2">
        <w:rPr>
          <w:rFonts w:ascii="Times New Roman" w:hAnsi="Times New Roman" w:cs="Times New Roman"/>
          <w:sz w:val="24"/>
          <w:szCs w:val="24"/>
        </w:rPr>
        <w:t>з ПДВ</w:t>
      </w:r>
    </w:p>
    <w:p w:rsidR="00D82DB2" w:rsidRPr="00D82DB2" w:rsidRDefault="00D82DB2" w:rsidP="00D82DB2">
      <w:pPr>
        <w:jc w:val="both"/>
        <w:rPr>
          <w:rFonts w:ascii="Times New Roman" w:hAnsi="Times New Roman" w:cs="Times New Roman"/>
          <w:sz w:val="24"/>
          <w:szCs w:val="24"/>
        </w:rPr>
      </w:pPr>
      <w:r w:rsidRPr="00D82DB2">
        <w:rPr>
          <w:rFonts w:ascii="Times New Roman" w:hAnsi="Times New Roman" w:cs="Times New Roman"/>
          <w:sz w:val="24"/>
          <w:szCs w:val="24"/>
        </w:rPr>
        <w:t>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82DB2" w:rsidRPr="00D82DB2" w:rsidRDefault="00D82DB2" w:rsidP="00D82DB2">
      <w:pPr>
        <w:jc w:val="both"/>
        <w:rPr>
          <w:rFonts w:ascii="Times New Roman" w:hAnsi="Times New Roman" w:cs="Times New Roman"/>
          <w:sz w:val="24"/>
          <w:szCs w:val="24"/>
        </w:rPr>
      </w:pPr>
      <w:r w:rsidRPr="00D82DB2">
        <w:rPr>
          <w:rFonts w:ascii="Times New Roman" w:hAnsi="Times New Roman" w:cs="Times New Roman"/>
          <w:sz w:val="24"/>
          <w:szCs w:val="24"/>
        </w:rPr>
        <w:t xml:space="preserve">Відповідно до ч.4 ст.4 Закону України «Про публічні закупівлі» для планування закупівель та підготовки до проведення закупівель замовники можуть проводити попередні ринкові </w:t>
      </w:r>
      <w:r w:rsidRPr="00D82DB2">
        <w:rPr>
          <w:rFonts w:ascii="Times New Roman" w:hAnsi="Times New Roman" w:cs="Times New Roman"/>
          <w:sz w:val="24"/>
          <w:szCs w:val="24"/>
        </w:rPr>
        <w:lastRenderedPageBreak/>
        <w:t>консультації з метою аналізу ринку, у тому числі запитувати й отримувати рекомендації та інформацію від суб’єктів господарювання. Такі рекомендації та інформація можуть використовуватися замовником під час підготовки до проведення закупівлі, якщо вони не призводять до порушення </w:t>
      </w:r>
      <w:hyperlink r:id="rId8" w:anchor="n927" w:history="1">
        <w:r w:rsidRPr="00D82DB2">
          <w:rPr>
            <w:rStyle w:val="a4"/>
            <w:rFonts w:ascii="Times New Roman" w:hAnsi="Times New Roman" w:cs="Times New Roman"/>
            <w:color w:val="auto"/>
            <w:sz w:val="24"/>
            <w:szCs w:val="24"/>
            <w:u w:val="none"/>
          </w:rPr>
          <w:t>статті 5</w:t>
        </w:r>
      </w:hyperlink>
      <w:r w:rsidRPr="00D82DB2">
        <w:rPr>
          <w:rFonts w:ascii="Times New Roman" w:hAnsi="Times New Roman" w:cs="Times New Roman"/>
          <w:sz w:val="24"/>
          <w:szCs w:val="24"/>
        </w:rPr>
        <w:t> цього Закону. Проведення попередніх ринкових консультацій замовником не вважається участю суб’єктів господарювання у підготовці вимог до тендерної документації.</w:t>
      </w:r>
    </w:p>
    <w:p w:rsidR="00D82DB2" w:rsidRPr="00D82DB2" w:rsidRDefault="00D82DB2" w:rsidP="00D82DB2">
      <w:pPr>
        <w:jc w:val="both"/>
        <w:rPr>
          <w:rFonts w:ascii="Times New Roman" w:hAnsi="Times New Roman" w:cs="Times New Roman"/>
          <w:sz w:val="24"/>
          <w:szCs w:val="24"/>
        </w:rPr>
      </w:pPr>
      <w:r w:rsidRPr="00D82DB2">
        <w:rPr>
          <w:rFonts w:ascii="Times New Roman" w:hAnsi="Times New Roman" w:cs="Times New Roman"/>
          <w:sz w:val="24"/>
          <w:szCs w:val="24"/>
        </w:rPr>
        <w:t>З метою аналізу ринку та формування очікуваної вартості закупівлі, замовником здійснено запити щодо отримання списків можливих партнерів та, в подальшому, комерційних пропозицій на антивірус.</w:t>
      </w:r>
    </w:p>
    <w:p w:rsidR="00D82DB2" w:rsidRDefault="00D82DB2" w:rsidP="00D82DB2">
      <w:pPr>
        <w:jc w:val="both"/>
        <w:rPr>
          <w:rFonts w:ascii="Times New Roman" w:hAnsi="Times New Roman" w:cs="Times New Roman"/>
          <w:sz w:val="24"/>
          <w:szCs w:val="24"/>
        </w:rPr>
      </w:pPr>
      <w:r w:rsidRPr="00D82DB2">
        <w:rPr>
          <w:rFonts w:ascii="Times New Roman" w:hAnsi="Times New Roman" w:cs="Times New Roman"/>
          <w:sz w:val="24"/>
          <w:szCs w:val="24"/>
        </w:rPr>
        <w:t>Відтак, було отримано такі комерційні пропозиції:</w:t>
      </w:r>
    </w:p>
    <w:tbl>
      <w:tblPr>
        <w:tblStyle w:val="1"/>
        <w:tblW w:w="9918" w:type="dxa"/>
        <w:tblLook w:val="04A0" w:firstRow="1" w:lastRow="0" w:firstColumn="1" w:lastColumn="0" w:noHBand="0" w:noVBand="1"/>
      </w:tblPr>
      <w:tblGrid>
        <w:gridCol w:w="499"/>
        <w:gridCol w:w="2096"/>
        <w:gridCol w:w="3042"/>
        <w:gridCol w:w="978"/>
        <w:gridCol w:w="1690"/>
        <w:gridCol w:w="1613"/>
      </w:tblGrid>
      <w:tr w:rsidR="002272D0" w:rsidRPr="002272D0" w:rsidTr="00D301C6">
        <w:trPr>
          <w:trHeight w:val="972"/>
        </w:trPr>
        <w:tc>
          <w:tcPr>
            <w:tcW w:w="499" w:type="dxa"/>
            <w:vAlign w:val="center"/>
          </w:tcPr>
          <w:p w:rsidR="002272D0" w:rsidRPr="002272D0" w:rsidRDefault="002272D0" w:rsidP="002272D0">
            <w:pPr>
              <w:jc w:val="center"/>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w:t>
            </w:r>
          </w:p>
        </w:tc>
        <w:tc>
          <w:tcPr>
            <w:tcW w:w="2096" w:type="dxa"/>
            <w:vAlign w:val="center"/>
          </w:tcPr>
          <w:p w:rsidR="002272D0" w:rsidRPr="002272D0" w:rsidRDefault="002272D0" w:rsidP="002272D0">
            <w:pPr>
              <w:jc w:val="center"/>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Найменування постачальника</w:t>
            </w:r>
          </w:p>
        </w:tc>
        <w:tc>
          <w:tcPr>
            <w:tcW w:w="3042" w:type="dxa"/>
            <w:vAlign w:val="center"/>
          </w:tcPr>
          <w:p w:rsidR="002272D0" w:rsidRPr="002272D0" w:rsidRDefault="002272D0" w:rsidP="002272D0">
            <w:pPr>
              <w:jc w:val="center"/>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Найменування продукції</w:t>
            </w:r>
          </w:p>
        </w:tc>
        <w:tc>
          <w:tcPr>
            <w:tcW w:w="978" w:type="dxa"/>
            <w:vAlign w:val="center"/>
          </w:tcPr>
          <w:p w:rsidR="002272D0" w:rsidRPr="002272D0" w:rsidRDefault="002272D0" w:rsidP="002272D0">
            <w:pPr>
              <w:jc w:val="center"/>
              <w:rPr>
                <w:rFonts w:ascii="Times New Roman" w:eastAsia="Times New Roman" w:hAnsi="Times New Roman" w:cs="Times New Roman"/>
                <w:b/>
                <w:i/>
                <w:sz w:val="26"/>
                <w:szCs w:val="26"/>
                <w:lang w:eastAsia="uk-UA"/>
              </w:rPr>
            </w:pPr>
            <w:proofErr w:type="spellStart"/>
            <w:r w:rsidRPr="002272D0">
              <w:rPr>
                <w:rFonts w:ascii="Times New Roman" w:eastAsia="Times New Roman" w:hAnsi="Times New Roman" w:cs="Times New Roman"/>
                <w:b/>
                <w:i/>
                <w:sz w:val="26"/>
                <w:szCs w:val="26"/>
                <w:lang w:eastAsia="uk-UA"/>
              </w:rPr>
              <w:t>К-ть</w:t>
            </w:r>
            <w:proofErr w:type="spellEnd"/>
          </w:p>
        </w:tc>
        <w:tc>
          <w:tcPr>
            <w:tcW w:w="1690" w:type="dxa"/>
            <w:vAlign w:val="center"/>
          </w:tcPr>
          <w:p w:rsidR="002272D0" w:rsidRPr="002272D0" w:rsidRDefault="002272D0" w:rsidP="002272D0">
            <w:pPr>
              <w:jc w:val="center"/>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Загальна вартість, грн. без ПДВ</w:t>
            </w:r>
          </w:p>
        </w:tc>
        <w:tc>
          <w:tcPr>
            <w:tcW w:w="1613" w:type="dxa"/>
            <w:vAlign w:val="center"/>
          </w:tcPr>
          <w:p w:rsidR="002272D0" w:rsidRPr="002272D0" w:rsidRDefault="002272D0" w:rsidP="002272D0">
            <w:pPr>
              <w:jc w:val="center"/>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Загальна вартість, грн. з ПДВ</w:t>
            </w:r>
          </w:p>
        </w:tc>
      </w:tr>
      <w:tr w:rsidR="002272D0" w:rsidRPr="002272D0" w:rsidTr="00D301C6">
        <w:trPr>
          <w:trHeight w:val="486"/>
        </w:trPr>
        <w:tc>
          <w:tcPr>
            <w:tcW w:w="499" w:type="dxa"/>
            <w:vMerge w:val="restart"/>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1.</w:t>
            </w:r>
          </w:p>
        </w:tc>
        <w:tc>
          <w:tcPr>
            <w:tcW w:w="2096" w:type="dxa"/>
            <w:vMerge w:val="restart"/>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ТОВ «САЙБЕР</w:t>
            </w:r>
          </w:p>
          <w:p w:rsidR="002272D0" w:rsidRPr="002272D0" w:rsidRDefault="002272D0" w:rsidP="002272D0">
            <w:pPr>
              <w:spacing w:after="0" w:line="240" w:lineRule="auto"/>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ФОРС»</w:t>
            </w:r>
          </w:p>
        </w:tc>
        <w:tc>
          <w:tcPr>
            <w:tcW w:w="3042"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eastAsia="uk-UA"/>
              </w:rPr>
              <w:t xml:space="preserve">Програмна продукція </w:t>
            </w:r>
            <w:r w:rsidRPr="002272D0">
              <w:rPr>
                <w:rFonts w:ascii="Times New Roman" w:eastAsia="Times New Roman" w:hAnsi="Times New Roman" w:cs="Times New Roman"/>
                <w:i/>
                <w:sz w:val="26"/>
                <w:szCs w:val="26"/>
                <w:lang w:val="en-US" w:eastAsia="uk-UA"/>
              </w:rPr>
              <w:t>Tenable.io</w:t>
            </w:r>
          </w:p>
        </w:tc>
        <w:tc>
          <w:tcPr>
            <w:tcW w:w="978"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65</w:t>
            </w:r>
          </w:p>
        </w:tc>
        <w:tc>
          <w:tcPr>
            <w:tcW w:w="1690"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83 193,60</w:t>
            </w:r>
          </w:p>
        </w:tc>
        <w:tc>
          <w:tcPr>
            <w:tcW w:w="1613"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99 832,32</w:t>
            </w:r>
          </w:p>
        </w:tc>
      </w:tr>
      <w:tr w:rsidR="002272D0" w:rsidRPr="002272D0" w:rsidTr="00D301C6">
        <w:trPr>
          <w:trHeight w:val="486"/>
        </w:trPr>
        <w:tc>
          <w:tcPr>
            <w:tcW w:w="499" w:type="dxa"/>
            <w:vMerge/>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eastAsia="uk-UA"/>
              </w:rPr>
            </w:pPr>
          </w:p>
        </w:tc>
        <w:tc>
          <w:tcPr>
            <w:tcW w:w="2096" w:type="dxa"/>
            <w:vMerge/>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eastAsia="uk-UA"/>
              </w:rPr>
            </w:pPr>
          </w:p>
        </w:tc>
        <w:tc>
          <w:tcPr>
            <w:tcW w:w="3042"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ru-RU" w:eastAsia="uk-UA"/>
              </w:rPr>
            </w:pPr>
            <w:r w:rsidRPr="002272D0">
              <w:rPr>
                <w:rFonts w:ascii="Times New Roman" w:eastAsia="Times New Roman" w:hAnsi="Times New Roman" w:cs="Times New Roman"/>
                <w:i/>
                <w:sz w:val="26"/>
                <w:szCs w:val="26"/>
                <w:lang w:eastAsia="uk-UA"/>
              </w:rPr>
              <w:t xml:space="preserve">Програмна продукція </w:t>
            </w:r>
            <w:r w:rsidRPr="002272D0">
              <w:rPr>
                <w:rFonts w:ascii="Times New Roman" w:eastAsia="Times New Roman" w:hAnsi="Times New Roman" w:cs="Times New Roman"/>
                <w:i/>
                <w:sz w:val="26"/>
                <w:szCs w:val="26"/>
                <w:lang w:val="en-US" w:eastAsia="uk-UA"/>
              </w:rPr>
              <w:t>Tenable</w:t>
            </w:r>
            <w:r w:rsidRPr="002272D0">
              <w:rPr>
                <w:rFonts w:ascii="Times New Roman" w:eastAsia="Times New Roman" w:hAnsi="Times New Roman" w:cs="Times New Roman"/>
                <w:i/>
                <w:sz w:val="26"/>
                <w:szCs w:val="26"/>
                <w:lang w:val="ru-RU" w:eastAsia="uk-UA"/>
              </w:rPr>
              <w:t>.</w:t>
            </w:r>
            <w:proofErr w:type="spellStart"/>
            <w:r w:rsidRPr="002272D0">
              <w:rPr>
                <w:rFonts w:ascii="Times New Roman" w:eastAsia="Times New Roman" w:hAnsi="Times New Roman" w:cs="Times New Roman"/>
                <w:i/>
                <w:sz w:val="26"/>
                <w:szCs w:val="26"/>
                <w:lang w:val="en-US" w:eastAsia="uk-UA"/>
              </w:rPr>
              <w:t>io</w:t>
            </w:r>
            <w:proofErr w:type="spellEnd"/>
            <w:r w:rsidRPr="002272D0">
              <w:rPr>
                <w:rFonts w:ascii="Times New Roman" w:eastAsia="Times New Roman" w:hAnsi="Times New Roman" w:cs="Times New Roman"/>
                <w:i/>
                <w:sz w:val="26"/>
                <w:szCs w:val="26"/>
                <w:lang w:eastAsia="uk-UA"/>
              </w:rPr>
              <w:t xml:space="preserve"> </w:t>
            </w:r>
            <w:r w:rsidRPr="002272D0">
              <w:rPr>
                <w:rFonts w:ascii="Times New Roman" w:eastAsia="Times New Roman" w:hAnsi="Times New Roman" w:cs="Times New Roman"/>
                <w:i/>
                <w:sz w:val="26"/>
                <w:szCs w:val="26"/>
                <w:lang w:val="en-US" w:eastAsia="uk-UA"/>
              </w:rPr>
              <w:t>WAS</w:t>
            </w:r>
          </w:p>
        </w:tc>
        <w:tc>
          <w:tcPr>
            <w:tcW w:w="978"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5</w:t>
            </w:r>
          </w:p>
        </w:tc>
        <w:tc>
          <w:tcPr>
            <w:tcW w:w="1690"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130 842,45</w:t>
            </w:r>
          </w:p>
        </w:tc>
        <w:tc>
          <w:tcPr>
            <w:tcW w:w="1613"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157</w:t>
            </w:r>
            <w:r w:rsidRPr="002272D0">
              <w:rPr>
                <w:rFonts w:ascii="Times New Roman" w:eastAsia="Times New Roman" w:hAnsi="Times New Roman" w:cs="Times New Roman"/>
                <w:i/>
                <w:sz w:val="26"/>
                <w:szCs w:val="26"/>
                <w:lang w:eastAsia="uk-UA"/>
              </w:rPr>
              <w:t> </w:t>
            </w:r>
            <w:r w:rsidRPr="002272D0">
              <w:rPr>
                <w:rFonts w:ascii="Times New Roman" w:eastAsia="Times New Roman" w:hAnsi="Times New Roman" w:cs="Times New Roman"/>
                <w:i/>
                <w:sz w:val="26"/>
                <w:szCs w:val="26"/>
                <w:lang w:val="en-US" w:eastAsia="uk-UA"/>
              </w:rPr>
              <w:t>010</w:t>
            </w:r>
            <w:r w:rsidRPr="002272D0">
              <w:rPr>
                <w:rFonts w:ascii="Times New Roman" w:eastAsia="Times New Roman" w:hAnsi="Times New Roman" w:cs="Times New Roman"/>
                <w:i/>
                <w:sz w:val="26"/>
                <w:szCs w:val="26"/>
                <w:lang w:eastAsia="uk-UA"/>
              </w:rPr>
              <w:t>,</w:t>
            </w:r>
            <w:r w:rsidRPr="002272D0">
              <w:rPr>
                <w:rFonts w:ascii="Times New Roman" w:eastAsia="Times New Roman" w:hAnsi="Times New Roman" w:cs="Times New Roman"/>
                <w:i/>
                <w:sz w:val="26"/>
                <w:szCs w:val="26"/>
                <w:lang w:val="en-US" w:eastAsia="uk-UA"/>
              </w:rPr>
              <w:t>94</w:t>
            </w:r>
          </w:p>
        </w:tc>
      </w:tr>
      <w:tr w:rsidR="002272D0" w:rsidRPr="002272D0" w:rsidTr="00D301C6">
        <w:trPr>
          <w:trHeight w:val="486"/>
        </w:trPr>
        <w:tc>
          <w:tcPr>
            <w:tcW w:w="499" w:type="dxa"/>
            <w:vMerge/>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eastAsia="uk-UA"/>
              </w:rPr>
            </w:pPr>
          </w:p>
        </w:tc>
        <w:tc>
          <w:tcPr>
            <w:tcW w:w="2096" w:type="dxa"/>
            <w:vMerge/>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eastAsia="uk-UA"/>
              </w:rPr>
            </w:pPr>
          </w:p>
        </w:tc>
        <w:tc>
          <w:tcPr>
            <w:tcW w:w="3042"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eastAsia="uk-UA"/>
              </w:rPr>
              <w:t>Програмна продукція</w:t>
            </w:r>
          </w:p>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proofErr w:type="spellStart"/>
            <w:r w:rsidRPr="002272D0">
              <w:rPr>
                <w:rFonts w:ascii="Times New Roman" w:eastAsia="Times New Roman" w:hAnsi="Times New Roman" w:cs="Times New Roman"/>
                <w:i/>
                <w:sz w:val="26"/>
                <w:szCs w:val="26"/>
                <w:lang w:val="en-US" w:eastAsia="uk-UA"/>
              </w:rPr>
              <w:t>Automox</w:t>
            </w:r>
            <w:proofErr w:type="spellEnd"/>
            <w:r w:rsidRPr="002272D0">
              <w:rPr>
                <w:rFonts w:ascii="Times New Roman" w:eastAsia="Times New Roman" w:hAnsi="Times New Roman" w:cs="Times New Roman"/>
                <w:i/>
                <w:sz w:val="26"/>
                <w:szCs w:val="26"/>
                <w:lang w:val="en-US" w:eastAsia="uk-UA"/>
              </w:rPr>
              <w:t xml:space="preserve"> Complete</w:t>
            </w:r>
          </w:p>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1 year</w:t>
            </w:r>
          </w:p>
        </w:tc>
        <w:tc>
          <w:tcPr>
            <w:tcW w:w="978"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128</w:t>
            </w:r>
          </w:p>
        </w:tc>
        <w:tc>
          <w:tcPr>
            <w:tcW w:w="1690"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393 185,60</w:t>
            </w:r>
          </w:p>
        </w:tc>
        <w:tc>
          <w:tcPr>
            <w:tcW w:w="1613" w:type="dxa"/>
            <w:vAlign w:val="center"/>
          </w:tcPr>
          <w:p w:rsidR="002272D0" w:rsidRPr="002272D0" w:rsidRDefault="002272D0" w:rsidP="002272D0">
            <w:pPr>
              <w:spacing w:after="0" w:line="240" w:lineRule="auto"/>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471</w:t>
            </w:r>
            <w:r w:rsidRPr="002272D0">
              <w:rPr>
                <w:rFonts w:ascii="Times New Roman" w:eastAsia="Times New Roman" w:hAnsi="Times New Roman" w:cs="Times New Roman"/>
                <w:i/>
                <w:sz w:val="26"/>
                <w:szCs w:val="26"/>
                <w:lang w:eastAsia="uk-UA"/>
              </w:rPr>
              <w:t xml:space="preserve"> </w:t>
            </w:r>
            <w:r w:rsidRPr="002272D0">
              <w:rPr>
                <w:rFonts w:ascii="Times New Roman" w:eastAsia="Times New Roman" w:hAnsi="Times New Roman" w:cs="Times New Roman"/>
                <w:i/>
                <w:sz w:val="26"/>
                <w:szCs w:val="26"/>
                <w:lang w:val="en-US" w:eastAsia="uk-UA"/>
              </w:rPr>
              <w:t>817</w:t>
            </w:r>
            <w:r w:rsidRPr="002272D0">
              <w:rPr>
                <w:rFonts w:ascii="Times New Roman" w:eastAsia="Times New Roman" w:hAnsi="Times New Roman" w:cs="Times New Roman"/>
                <w:i/>
                <w:sz w:val="26"/>
                <w:szCs w:val="26"/>
                <w:lang w:eastAsia="uk-UA"/>
              </w:rPr>
              <w:t>,</w:t>
            </w:r>
            <w:r w:rsidRPr="002272D0">
              <w:rPr>
                <w:rFonts w:ascii="Times New Roman" w:eastAsia="Times New Roman" w:hAnsi="Times New Roman" w:cs="Times New Roman"/>
                <w:i/>
                <w:sz w:val="26"/>
                <w:szCs w:val="26"/>
                <w:lang w:val="en-US" w:eastAsia="uk-UA"/>
              </w:rPr>
              <w:t>20</w:t>
            </w:r>
          </w:p>
        </w:tc>
      </w:tr>
      <w:tr w:rsidR="002272D0" w:rsidRPr="002272D0" w:rsidTr="00D301C6">
        <w:trPr>
          <w:trHeight w:val="505"/>
        </w:trPr>
        <w:tc>
          <w:tcPr>
            <w:tcW w:w="8305" w:type="dxa"/>
            <w:gridSpan w:val="5"/>
            <w:vAlign w:val="center"/>
          </w:tcPr>
          <w:p w:rsidR="002272D0" w:rsidRPr="002272D0" w:rsidRDefault="002272D0" w:rsidP="002272D0">
            <w:pPr>
              <w:spacing w:after="0" w:line="240" w:lineRule="auto"/>
              <w:jc w:val="right"/>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Всього, грн. без ПДВ</w:t>
            </w:r>
          </w:p>
        </w:tc>
        <w:tc>
          <w:tcPr>
            <w:tcW w:w="1613" w:type="dxa"/>
            <w:vAlign w:val="center"/>
          </w:tcPr>
          <w:p w:rsidR="002272D0" w:rsidRPr="002272D0" w:rsidRDefault="002272D0" w:rsidP="002272D0">
            <w:pPr>
              <w:spacing w:after="0" w:line="240" w:lineRule="auto"/>
              <w:jc w:val="center"/>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607 221,65</w:t>
            </w:r>
          </w:p>
        </w:tc>
      </w:tr>
      <w:tr w:rsidR="002272D0" w:rsidRPr="002272D0" w:rsidTr="00D301C6">
        <w:trPr>
          <w:trHeight w:val="427"/>
        </w:trPr>
        <w:tc>
          <w:tcPr>
            <w:tcW w:w="8305" w:type="dxa"/>
            <w:gridSpan w:val="5"/>
            <w:vAlign w:val="center"/>
          </w:tcPr>
          <w:p w:rsidR="002272D0" w:rsidRPr="002272D0" w:rsidRDefault="002272D0" w:rsidP="002272D0">
            <w:pPr>
              <w:spacing w:after="0" w:line="240" w:lineRule="auto"/>
              <w:jc w:val="right"/>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Всього, грн. з ПДВ</w:t>
            </w:r>
          </w:p>
        </w:tc>
        <w:tc>
          <w:tcPr>
            <w:tcW w:w="1613" w:type="dxa"/>
            <w:vAlign w:val="center"/>
          </w:tcPr>
          <w:p w:rsidR="002272D0" w:rsidRPr="002272D0" w:rsidRDefault="002272D0" w:rsidP="002272D0">
            <w:pPr>
              <w:spacing w:after="0" w:line="240" w:lineRule="auto"/>
              <w:jc w:val="center"/>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728 665,98</w:t>
            </w:r>
          </w:p>
        </w:tc>
      </w:tr>
      <w:tr w:rsidR="002272D0" w:rsidRPr="002272D0" w:rsidTr="00D301C6">
        <w:trPr>
          <w:trHeight w:val="465"/>
        </w:trPr>
        <w:tc>
          <w:tcPr>
            <w:tcW w:w="499" w:type="dxa"/>
            <w:vMerge w:val="restart"/>
            <w:vAlign w:val="center"/>
          </w:tcPr>
          <w:p w:rsidR="002272D0" w:rsidRPr="002272D0" w:rsidRDefault="002272D0" w:rsidP="002272D0">
            <w:pPr>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2.</w:t>
            </w:r>
          </w:p>
        </w:tc>
        <w:tc>
          <w:tcPr>
            <w:tcW w:w="2096" w:type="dxa"/>
            <w:vMerge w:val="restart"/>
            <w:vAlign w:val="center"/>
          </w:tcPr>
          <w:p w:rsidR="002272D0" w:rsidRPr="002272D0" w:rsidRDefault="002272D0" w:rsidP="002272D0">
            <w:pPr>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ТОВ «СВІТ ІТ»</w:t>
            </w:r>
          </w:p>
        </w:tc>
        <w:tc>
          <w:tcPr>
            <w:tcW w:w="3042" w:type="dxa"/>
          </w:tcPr>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proofErr w:type="spellStart"/>
            <w:r w:rsidRPr="002272D0">
              <w:rPr>
                <w:rFonts w:ascii="Times New Roman" w:eastAsia="Times New Roman" w:hAnsi="Times New Roman" w:cs="Times New Roman"/>
                <w:i/>
                <w:sz w:val="26"/>
                <w:szCs w:val="26"/>
                <w:lang w:val="en-US" w:eastAsia="uk-UA"/>
              </w:rPr>
              <w:t>Програмна</w:t>
            </w:r>
            <w:proofErr w:type="spellEnd"/>
            <w:r w:rsidRPr="002272D0">
              <w:rPr>
                <w:rFonts w:ascii="Times New Roman" w:eastAsia="Times New Roman" w:hAnsi="Times New Roman" w:cs="Times New Roman"/>
                <w:i/>
                <w:sz w:val="26"/>
                <w:szCs w:val="26"/>
                <w:lang w:val="en-US" w:eastAsia="uk-UA"/>
              </w:rPr>
              <w:t xml:space="preserve"> </w:t>
            </w:r>
            <w:proofErr w:type="spellStart"/>
            <w:r w:rsidRPr="002272D0">
              <w:rPr>
                <w:rFonts w:ascii="Times New Roman" w:eastAsia="Times New Roman" w:hAnsi="Times New Roman" w:cs="Times New Roman"/>
                <w:i/>
                <w:sz w:val="26"/>
                <w:szCs w:val="26"/>
                <w:lang w:val="en-US" w:eastAsia="uk-UA"/>
              </w:rPr>
              <w:t>продукція</w:t>
            </w:r>
            <w:proofErr w:type="spellEnd"/>
            <w:r w:rsidRPr="002272D0">
              <w:rPr>
                <w:rFonts w:ascii="Times New Roman" w:eastAsia="Times New Roman" w:hAnsi="Times New Roman" w:cs="Times New Roman"/>
                <w:i/>
                <w:sz w:val="26"/>
                <w:szCs w:val="26"/>
                <w:lang w:val="en-US" w:eastAsia="uk-UA"/>
              </w:rPr>
              <w:t xml:space="preserve"> </w:t>
            </w:r>
            <w:proofErr w:type="spellStart"/>
            <w:r w:rsidRPr="002272D0">
              <w:rPr>
                <w:rFonts w:ascii="Times New Roman" w:eastAsia="Times New Roman" w:hAnsi="Times New Roman" w:cs="Times New Roman"/>
                <w:i/>
                <w:sz w:val="26"/>
                <w:szCs w:val="26"/>
                <w:lang w:val="en-US" w:eastAsia="uk-UA"/>
              </w:rPr>
              <w:t>Qualys</w:t>
            </w:r>
            <w:proofErr w:type="spellEnd"/>
            <w:r w:rsidRPr="002272D0">
              <w:rPr>
                <w:rFonts w:ascii="Times New Roman" w:eastAsia="Times New Roman" w:hAnsi="Times New Roman" w:cs="Times New Roman"/>
                <w:i/>
                <w:sz w:val="26"/>
                <w:szCs w:val="26"/>
                <w:lang w:val="en-US" w:eastAsia="uk-UA"/>
              </w:rPr>
              <w:t xml:space="preserve"> VMDR Bundle for 64 </w:t>
            </w:r>
            <w:proofErr w:type="spellStart"/>
            <w:r w:rsidRPr="002272D0">
              <w:rPr>
                <w:rFonts w:ascii="Times New Roman" w:eastAsia="Times New Roman" w:hAnsi="Times New Roman" w:cs="Times New Roman"/>
                <w:i/>
                <w:sz w:val="26"/>
                <w:szCs w:val="26"/>
                <w:lang w:val="en-US" w:eastAsia="uk-UA"/>
              </w:rPr>
              <w:t>Ips</w:t>
            </w:r>
            <w:proofErr w:type="spellEnd"/>
            <w:r w:rsidRPr="002272D0">
              <w:rPr>
                <w:rFonts w:ascii="Times New Roman" w:eastAsia="Times New Roman" w:hAnsi="Times New Roman" w:cs="Times New Roman"/>
                <w:i/>
                <w:sz w:val="26"/>
                <w:szCs w:val="26"/>
                <w:lang w:val="en-US" w:eastAsia="uk-UA"/>
              </w:rPr>
              <w:t xml:space="preserve">; Vulnerability Management, Detection, and Response, includes the following </w:t>
            </w:r>
            <w:proofErr w:type="spellStart"/>
            <w:r w:rsidRPr="002272D0">
              <w:rPr>
                <w:rFonts w:ascii="Times New Roman" w:eastAsia="Times New Roman" w:hAnsi="Times New Roman" w:cs="Times New Roman"/>
                <w:i/>
                <w:sz w:val="26"/>
                <w:szCs w:val="26"/>
                <w:lang w:val="en-US" w:eastAsia="uk-UA"/>
              </w:rPr>
              <w:t>Qualys</w:t>
            </w:r>
            <w:proofErr w:type="spellEnd"/>
            <w:r w:rsidRPr="002272D0">
              <w:rPr>
                <w:rFonts w:ascii="Times New Roman" w:eastAsia="Times New Roman" w:hAnsi="Times New Roman" w:cs="Times New Roman"/>
                <w:i/>
                <w:sz w:val="26"/>
                <w:szCs w:val="26"/>
                <w:lang w:val="en-US" w:eastAsia="uk-UA"/>
              </w:rPr>
              <w:t xml:space="preserve"> Modules: Cloud Agent VM, includes VM scanning Internal &amp; </w:t>
            </w:r>
            <w:proofErr w:type="spellStart"/>
            <w:r w:rsidRPr="002272D0">
              <w:rPr>
                <w:rFonts w:ascii="Times New Roman" w:eastAsia="Times New Roman" w:hAnsi="Times New Roman" w:cs="Times New Roman"/>
                <w:i/>
                <w:sz w:val="26"/>
                <w:szCs w:val="26"/>
                <w:lang w:val="en-US" w:eastAsia="uk-UA"/>
              </w:rPr>
              <w:t>ExternalQualys</w:t>
            </w:r>
            <w:proofErr w:type="spellEnd"/>
            <w:r w:rsidRPr="002272D0">
              <w:rPr>
                <w:rFonts w:ascii="Times New Roman" w:eastAsia="Times New Roman" w:hAnsi="Times New Roman" w:cs="Times New Roman"/>
                <w:i/>
                <w:sz w:val="26"/>
                <w:szCs w:val="26"/>
                <w:lang w:val="en-US" w:eastAsia="uk-UA"/>
              </w:rPr>
              <w:t xml:space="preserve"> PCI is bundled at no additional cost with External IPs only.</w:t>
            </w:r>
          </w:p>
          <w:p w:rsidR="002272D0" w:rsidRPr="002272D0" w:rsidRDefault="002272D0" w:rsidP="002272D0">
            <w:pPr>
              <w:spacing w:after="0" w:line="240" w:lineRule="auto"/>
              <w:ind w:left="720"/>
              <w:contextualSpacing/>
              <w:jc w:val="both"/>
              <w:rPr>
                <w:rFonts w:ascii="Times New Roman" w:eastAsia="Times New Roman" w:hAnsi="Times New Roman" w:cs="Times New Roman"/>
                <w:i/>
                <w:sz w:val="26"/>
                <w:szCs w:val="26"/>
                <w:lang w:val="en-US" w:eastAsia="uk-UA"/>
              </w:rPr>
            </w:pP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Threat Protection</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Continuous Monitoring</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Patch Detection</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Cloud Agent SCA - includes authenticated scanning Standard API - Application Programming Interface</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xml:space="preserve">Virtual Scanner (Unlimited) </w:t>
            </w:r>
            <w:proofErr w:type="spellStart"/>
            <w:r w:rsidRPr="002272D0">
              <w:rPr>
                <w:rFonts w:ascii="Times New Roman" w:eastAsia="Times New Roman" w:hAnsi="Times New Roman" w:cs="Times New Roman"/>
                <w:i/>
                <w:sz w:val="26"/>
                <w:szCs w:val="26"/>
                <w:lang w:val="en-US" w:eastAsia="uk-UA"/>
              </w:rPr>
              <w:t>CertView</w:t>
            </w:r>
            <w:proofErr w:type="spellEnd"/>
            <w:r w:rsidRPr="002272D0">
              <w:rPr>
                <w:rFonts w:ascii="Times New Roman" w:eastAsia="Times New Roman" w:hAnsi="Times New Roman" w:cs="Times New Roman"/>
                <w:i/>
                <w:sz w:val="26"/>
                <w:szCs w:val="26"/>
                <w:lang w:val="en-US" w:eastAsia="uk-UA"/>
              </w:rPr>
              <w:t xml:space="preserve"> Internal &amp; External</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lastRenderedPageBreak/>
              <w:t>Global IT Asset Inventory</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Cloud Inventory Container Inventory</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xml:space="preserve">Secure Enterprise Mobility (Inventory) </w:t>
            </w:r>
            <w:proofErr w:type="spellStart"/>
            <w:r w:rsidRPr="002272D0">
              <w:rPr>
                <w:rFonts w:ascii="Times New Roman" w:eastAsia="Times New Roman" w:hAnsi="Times New Roman" w:cs="Times New Roman"/>
                <w:i/>
                <w:sz w:val="26"/>
                <w:szCs w:val="26"/>
                <w:lang w:val="en-US" w:eastAsia="uk-UA"/>
              </w:rPr>
              <w:t>Qualys</w:t>
            </w:r>
            <w:proofErr w:type="spellEnd"/>
            <w:r w:rsidRPr="002272D0">
              <w:rPr>
                <w:rFonts w:ascii="Times New Roman" w:eastAsia="Times New Roman" w:hAnsi="Times New Roman" w:cs="Times New Roman"/>
                <w:i/>
                <w:sz w:val="26"/>
                <w:szCs w:val="26"/>
                <w:lang w:val="en-US" w:eastAsia="uk-UA"/>
              </w:rPr>
              <w:t xml:space="preserve"> Gateway Service</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Passive Network Sensor</w:t>
            </w:r>
          </w:p>
          <w:p w:rsidR="002272D0" w:rsidRPr="002272D0" w:rsidRDefault="002272D0" w:rsidP="002272D0">
            <w:pPr>
              <w:spacing w:after="0" w:line="240" w:lineRule="auto"/>
              <w:ind w:left="720"/>
              <w:contextualSpacing/>
              <w:jc w:val="both"/>
              <w:rPr>
                <w:rFonts w:ascii="Times New Roman" w:eastAsia="Times New Roman" w:hAnsi="Times New Roman" w:cs="Times New Roman"/>
                <w:i/>
                <w:sz w:val="26"/>
                <w:szCs w:val="26"/>
                <w:lang w:val="en-US" w:eastAsia="uk-UA"/>
              </w:rPr>
            </w:pPr>
          </w:p>
          <w:p w:rsidR="002272D0" w:rsidRPr="002272D0" w:rsidRDefault="002272D0" w:rsidP="002272D0">
            <w:pPr>
              <w:spacing w:after="0" w:line="240" w:lineRule="auto"/>
              <w:ind w:left="720"/>
              <w:contextualSpacing/>
              <w:jc w:val="both"/>
              <w:rPr>
                <w:rFonts w:ascii="Times New Roman" w:eastAsia="Times New Roman" w:hAnsi="Times New Roman" w:cs="Times New Roman"/>
                <w:i/>
                <w:sz w:val="26"/>
                <w:szCs w:val="26"/>
                <w:lang w:val="en-US" w:eastAsia="uk-UA"/>
              </w:rPr>
            </w:pPr>
          </w:p>
        </w:tc>
        <w:tc>
          <w:tcPr>
            <w:tcW w:w="978" w:type="dxa"/>
            <w:vAlign w:val="center"/>
          </w:tcPr>
          <w:p w:rsidR="002272D0" w:rsidRPr="002272D0" w:rsidRDefault="002272D0" w:rsidP="002272D0">
            <w:pPr>
              <w:jc w:val="center"/>
              <w:rPr>
                <w:rFonts w:ascii="Times New Roman" w:eastAsia="Times New Roman" w:hAnsi="Times New Roman" w:cs="Times New Roman"/>
                <w:i/>
                <w:sz w:val="26"/>
                <w:szCs w:val="26"/>
                <w:lang w:eastAsia="uk-UA"/>
              </w:rPr>
            </w:pPr>
          </w:p>
          <w:p w:rsidR="002272D0" w:rsidRPr="002272D0" w:rsidRDefault="002272D0" w:rsidP="002272D0">
            <w:pPr>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1</w:t>
            </w:r>
          </w:p>
        </w:tc>
        <w:tc>
          <w:tcPr>
            <w:tcW w:w="1690" w:type="dxa"/>
            <w:vAlign w:val="center"/>
          </w:tcPr>
          <w:p w:rsidR="002272D0" w:rsidRPr="002272D0" w:rsidRDefault="002272D0" w:rsidP="002272D0">
            <w:pPr>
              <w:jc w:val="center"/>
              <w:rPr>
                <w:rFonts w:ascii="Times New Roman" w:eastAsia="Times New Roman" w:hAnsi="Times New Roman" w:cs="Times New Roman"/>
                <w:i/>
                <w:sz w:val="26"/>
                <w:szCs w:val="26"/>
                <w:lang w:eastAsia="uk-UA"/>
              </w:rPr>
            </w:pPr>
          </w:p>
          <w:p w:rsidR="002272D0" w:rsidRPr="002272D0" w:rsidRDefault="002272D0" w:rsidP="002272D0">
            <w:pPr>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149 139, 97</w:t>
            </w:r>
          </w:p>
        </w:tc>
        <w:tc>
          <w:tcPr>
            <w:tcW w:w="1613" w:type="dxa"/>
            <w:vAlign w:val="center"/>
          </w:tcPr>
          <w:p w:rsidR="002272D0" w:rsidRPr="002272D0" w:rsidRDefault="002272D0" w:rsidP="002272D0">
            <w:pPr>
              <w:jc w:val="center"/>
              <w:rPr>
                <w:rFonts w:ascii="Times New Roman" w:eastAsia="Times New Roman" w:hAnsi="Times New Roman" w:cs="Times New Roman"/>
                <w:i/>
                <w:sz w:val="26"/>
                <w:szCs w:val="26"/>
                <w:lang w:eastAsia="uk-UA"/>
              </w:rPr>
            </w:pPr>
          </w:p>
          <w:p w:rsidR="002272D0" w:rsidRPr="002272D0" w:rsidRDefault="002272D0" w:rsidP="002272D0">
            <w:pPr>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178 967,96</w:t>
            </w:r>
          </w:p>
        </w:tc>
      </w:tr>
      <w:tr w:rsidR="002272D0" w:rsidRPr="002272D0" w:rsidTr="00D301C6">
        <w:trPr>
          <w:trHeight w:val="465"/>
        </w:trPr>
        <w:tc>
          <w:tcPr>
            <w:tcW w:w="499" w:type="dxa"/>
            <w:vMerge/>
          </w:tcPr>
          <w:p w:rsidR="002272D0" w:rsidRPr="002272D0" w:rsidRDefault="002272D0" w:rsidP="002272D0">
            <w:pPr>
              <w:jc w:val="both"/>
              <w:rPr>
                <w:rFonts w:ascii="Times New Roman" w:eastAsia="Times New Roman" w:hAnsi="Times New Roman" w:cs="Times New Roman"/>
                <w:i/>
                <w:sz w:val="26"/>
                <w:szCs w:val="26"/>
                <w:lang w:val="en-US" w:eastAsia="uk-UA"/>
              </w:rPr>
            </w:pPr>
          </w:p>
        </w:tc>
        <w:tc>
          <w:tcPr>
            <w:tcW w:w="2096" w:type="dxa"/>
            <w:vMerge/>
          </w:tcPr>
          <w:p w:rsidR="002272D0" w:rsidRPr="002272D0" w:rsidRDefault="002272D0" w:rsidP="002272D0">
            <w:pPr>
              <w:jc w:val="both"/>
              <w:rPr>
                <w:rFonts w:ascii="Times New Roman" w:eastAsia="Times New Roman" w:hAnsi="Times New Roman" w:cs="Times New Roman"/>
                <w:i/>
                <w:sz w:val="26"/>
                <w:szCs w:val="26"/>
                <w:lang w:eastAsia="uk-UA"/>
              </w:rPr>
            </w:pPr>
          </w:p>
        </w:tc>
        <w:tc>
          <w:tcPr>
            <w:tcW w:w="3042" w:type="dxa"/>
          </w:tcPr>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eastAsia="uk-UA"/>
              </w:rPr>
              <w:t xml:space="preserve">Програмна продукція </w:t>
            </w:r>
            <w:proofErr w:type="spellStart"/>
            <w:r w:rsidRPr="002272D0">
              <w:rPr>
                <w:rFonts w:ascii="Times New Roman" w:eastAsia="Times New Roman" w:hAnsi="Times New Roman" w:cs="Times New Roman"/>
                <w:i/>
                <w:sz w:val="26"/>
                <w:szCs w:val="26"/>
                <w:lang w:val="en-US" w:eastAsia="uk-UA"/>
              </w:rPr>
              <w:t>Qualys</w:t>
            </w:r>
            <w:proofErr w:type="spellEnd"/>
            <w:r w:rsidRPr="002272D0">
              <w:rPr>
                <w:rFonts w:ascii="Times New Roman" w:eastAsia="Times New Roman" w:hAnsi="Times New Roman" w:cs="Times New Roman"/>
                <w:i/>
                <w:sz w:val="26"/>
                <w:szCs w:val="26"/>
                <w:lang w:eastAsia="uk-UA"/>
              </w:rPr>
              <w:t xml:space="preserve"> </w:t>
            </w:r>
            <w:r w:rsidRPr="002272D0">
              <w:rPr>
                <w:rFonts w:ascii="Times New Roman" w:eastAsia="Times New Roman" w:hAnsi="Times New Roman" w:cs="Times New Roman"/>
                <w:i/>
                <w:sz w:val="26"/>
                <w:szCs w:val="26"/>
                <w:lang w:val="en-US" w:eastAsia="uk-UA"/>
              </w:rPr>
              <w:t>Web Application Scanning</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Crawls web applications up to 8000 URL'S</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Identifies all 2017 OWASP Top 10 including cross-site scripting and SQL injection vulnerabilities</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Conducts authenticated and non-authenticated scanning</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*Includes Malware Scanning</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Support for Selenium crawl and authentication scripts</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p>
        </w:tc>
        <w:tc>
          <w:tcPr>
            <w:tcW w:w="978" w:type="dxa"/>
            <w:vAlign w:val="center"/>
          </w:tcPr>
          <w:p w:rsidR="002272D0" w:rsidRPr="002272D0" w:rsidRDefault="002272D0" w:rsidP="002272D0">
            <w:pPr>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1</w:t>
            </w:r>
          </w:p>
        </w:tc>
        <w:tc>
          <w:tcPr>
            <w:tcW w:w="1690" w:type="dxa"/>
            <w:vAlign w:val="center"/>
          </w:tcPr>
          <w:p w:rsidR="002272D0" w:rsidRPr="002272D0" w:rsidRDefault="002272D0" w:rsidP="002272D0">
            <w:pPr>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69 576,87</w:t>
            </w:r>
          </w:p>
        </w:tc>
        <w:tc>
          <w:tcPr>
            <w:tcW w:w="1613" w:type="dxa"/>
            <w:vAlign w:val="center"/>
          </w:tcPr>
          <w:p w:rsidR="002272D0" w:rsidRPr="002272D0" w:rsidRDefault="002272D0" w:rsidP="002272D0">
            <w:pPr>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83 492,24</w:t>
            </w:r>
          </w:p>
        </w:tc>
      </w:tr>
      <w:tr w:rsidR="002272D0" w:rsidRPr="002272D0" w:rsidTr="00D301C6">
        <w:trPr>
          <w:trHeight w:val="465"/>
        </w:trPr>
        <w:tc>
          <w:tcPr>
            <w:tcW w:w="499" w:type="dxa"/>
            <w:vMerge/>
          </w:tcPr>
          <w:p w:rsidR="002272D0" w:rsidRPr="002272D0" w:rsidRDefault="002272D0" w:rsidP="002272D0">
            <w:pPr>
              <w:jc w:val="both"/>
              <w:rPr>
                <w:rFonts w:ascii="Times New Roman" w:eastAsia="Times New Roman" w:hAnsi="Times New Roman" w:cs="Times New Roman"/>
                <w:i/>
                <w:sz w:val="26"/>
                <w:szCs w:val="26"/>
                <w:lang w:val="en-US" w:eastAsia="uk-UA"/>
              </w:rPr>
            </w:pPr>
          </w:p>
        </w:tc>
        <w:tc>
          <w:tcPr>
            <w:tcW w:w="2096" w:type="dxa"/>
            <w:vMerge/>
          </w:tcPr>
          <w:p w:rsidR="002272D0" w:rsidRPr="002272D0" w:rsidRDefault="002272D0" w:rsidP="002272D0">
            <w:pPr>
              <w:jc w:val="both"/>
              <w:rPr>
                <w:rFonts w:ascii="Times New Roman" w:eastAsia="Times New Roman" w:hAnsi="Times New Roman" w:cs="Times New Roman"/>
                <w:i/>
                <w:sz w:val="26"/>
                <w:szCs w:val="26"/>
                <w:lang w:eastAsia="uk-UA"/>
              </w:rPr>
            </w:pPr>
          </w:p>
        </w:tc>
        <w:tc>
          <w:tcPr>
            <w:tcW w:w="3042" w:type="dxa"/>
          </w:tcPr>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eastAsia="uk-UA"/>
              </w:rPr>
              <w:t xml:space="preserve">Програмна продукція </w:t>
            </w:r>
            <w:proofErr w:type="spellStart"/>
            <w:r w:rsidRPr="002272D0">
              <w:rPr>
                <w:rFonts w:ascii="Times New Roman" w:eastAsia="Times New Roman" w:hAnsi="Times New Roman" w:cs="Times New Roman"/>
                <w:i/>
                <w:sz w:val="26"/>
                <w:szCs w:val="26"/>
                <w:lang w:val="en-US" w:eastAsia="uk-UA"/>
              </w:rPr>
              <w:t>Qualys</w:t>
            </w:r>
            <w:proofErr w:type="spellEnd"/>
            <w:r w:rsidRPr="002272D0">
              <w:rPr>
                <w:rFonts w:ascii="Times New Roman" w:eastAsia="Times New Roman" w:hAnsi="Times New Roman" w:cs="Times New Roman"/>
                <w:i/>
                <w:sz w:val="26"/>
                <w:szCs w:val="26"/>
                <w:lang w:eastAsia="uk-UA"/>
              </w:rPr>
              <w:t xml:space="preserve"> </w:t>
            </w:r>
            <w:r w:rsidRPr="002272D0">
              <w:rPr>
                <w:rFonts w:ascii="Times New Roman" w:eastAsia="Times New Roman" w:hAnsi="Times New Roman" w:cs="Times New Roman"/>
                <w:i/>
                <w:sz w:val="26"/>
                <w:szCs w:val="26"/>
                <w:lang w:val="en-US" w:eastAsia="uk-UA"/>
              </w:rPr>
              <w:t>Web Application Scanning</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Crawls web applications up to 8000 URL'S</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Identifies all 2017 OWASP Top 10 including cross-site scripting and SQL injection vulnerabilities</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Conducts authenticated and non-authenticated scanning</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*Includes Malware Scanning</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 Support for Selenium crawl and authentication scripts</w:t>
            </w:r>
          </w:p>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p>
        </w:tc>
        <w:tc>
          <w:tcPr>
            <w:tcW w:w="978" w:type="dxa"/>
            <w:vAlign w:val="center"/>
          </w:tcPr>
          <w:p w:rsidR="002272D0" w:rsidRPr="002272D0" w:rsidRDefault="002272D0" w:rsidP="002272D0">
            <w:pPr>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1</w:t>
            </w:r>
          </w:p>
        </w:tc>
        <w:tc>
          <w:tcPr>
            <w:tcW w:w="1690" w:type="dxa"/>
            <w:vAlign w:val="center"/>
          </w:tcPr>
          <w:p w:rsidR="002272D0" w:rsidRPr="002272D0" w:rsidRDefault="002272D0" w:rsidP="002272D0">
            <w:pPr>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69 576,87</w:t>
            </w:r>
          </w:p>
        </w:tc>
        <w:tc>
          <w:tcPr>
            <w:tcW w:w="1613" w:type="dxa"/>
            <w:vAlign w:val="center"/>
          </w:tcPr>
          <w:p w:rsidR="002272D0" w:rsidRPr="002272D0" w:rsidRDefault="002272D0" w:rsidP="002272D0">
            <w:pPr>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83 492,24</w:t>
            </w:r>
          </w:p>
        </w:tc>
      </w:tr>
      <w:tr w:rsidR="002272D0" w:rsidRPr="002272D0" w:rsidTr="00D301C6">
        <w:trPr>
          <w:trHeight w:val="465"/>
        </w:trPr>
        <w:tc>
          <w:tcPr>
            <w:tcW w:w="499" w:type="dxa"/>
            <w:vMerge/>
          </w:tcPr>
          <w:p w:rsidR="002272D0" w:rsidRPr="002272D0" w:rsidRDefault="002272D0" w:rsidP="002272D0">
            <w:pPr>
              <w:jc w:val="both"/>
              <w:rPr>
                <w:rFonts w:ascii="Times New Roman" w:eastAsia="Times New Roman" w:hAnsi="Times New Roman" w:cs="Times New Roman"/>
                <w:i/>
                <w:sz w:val="26"/>
                <w:szCs w:val="26"/>
                <w:lang w:val="en-US" w:eastAsia="uk-UA"/>
              </w:rPr>
            </w:pPr>
          </w:p>
        </w:tc>
        <w:tc>
          <w:tcPr>
            <w:tcW w:w="2096" w:type="dxa"/>
            <w:vMerge/>
          </w:tcPr>
          <w:p w:rsidR="002272D0" w:rsidRPr="002272D0" w:rsidRDefault="002272D0" w:rsidP="002272D0">
            <w:pPr>
              <w:jc w:val="both"/>
              <w:rPr>
                <w:rFonts w:ascii="Times New Roman" w:eastAsia="Times New Roman" w:hAnsi="Times New Roman" w:cs="Times New Roman"/>
                <w:i/>
                <w:sz w:val="26"/>
                <w:szCs w:val="26"/>
                <w:lang w:eastAsia="uk-UA"/>
              </w:rPr>
            </w:pPr>
          </w:p>
        </w:tc>
        <w:tc>
          <w:tcPr>
            <w:tcW w:w="3042" w:type="dxa"/>
          </w:tcPr>
          <w:p w:rsidR="002272D0" w:rsidRPr="002272D0" w:rsidRDefault="002272D0" w:rsidP="002272D0">
            <w:pPr>
              <w:spacing w:after="0" w:line="240" w:lineRule="auto"/>
              <w:contextualSpacing/>
              <w:jc w:val="both"/>
              <w:rPr>
                <w:rFonts w:ascii="Times New Roman" w:eastAsia="Times New Roman" w:hAnsi="Times New Roman" w:cs="Times New Roman"/>
                <w:i/>
                <w:sz w:val="26"/>
                <w:szCs w:val="26"/>
                <w:lang w:val="en-US" w:eastAsia="uk-UA"/>
              </w:rPr>
            </w:pPr>
            <w:proofErr w:type="spellStart"/>
            <w:r w:rsidRPr="002272D0">
              <w:rPr>
                <w:rFonts w:ascii="Times New Roman" w:eastAsia="Times New Roman" w:hAnsi="Times New Roman" w:cs="Times New Roman"/>
                <w:i/>
                <w:sz w:val="26"/>
                <w:szCs w:val="26"/>
                <w:lang w:val="en-US" w:eastAsia="uk-UA"/>
              </w:rPr>
              <w:t>Qualys</w:t>
            </w:r>
            <w:proofErr w:type="spellEnd"/>
            <w:r w:rsidRPr="002272D0">
              <w:rPr>
                <w:rFonts w:ascii="Times New Roman" w:eastAsia="Times New Roman" w:hAnsi="Times New Roman" w:cs="Times New Roman"/>
                <w:i/>
                <w:sz w:val="26"/>
                <w:szCs w:val="26"/>
                <w:lang w:val="en-US" w:eastAsia="uk-UA"/>
              </w:rPr>
              <w:t xml:space="preserve"> Patch Management (PM) – Annual Subscription </w:t>
            </w:r>
            <w:r w:rsidRPr="002272D0">
              <w:rPr>
                <w:rFonts w:ascii="Times New Roman" w:eastAsia="Times New Roman" w:hAnsi="Times New Roman" w:cs="Times New Roman"/>
                <w:i/>
                <w:sz w:val="26"/>
                <w:szCs w:val="26"/>
                <w:lang w:val="en-US" w:eastAsia="uk-UA"/>
              </w:rPr>
              <w:lastRenderedPageBreak/>
              <w:t xml:space="preserve">Windows Agent for 128 </w:t>
            </w:r>
            <w:proofErr w:type="spellStart"/>
            <w:r w:rsidRPr="002272D0">
              <w:rPr>
                <w:rFonts w:ascii="Times New Roman" w:eastAsia="Times New Roman" w:hAnsi="Times New Roman" w:cs="Times New Roman"/>
                <w:i/>
                <w:sz w:val="26"/>
                <w:szCs w:val="26"/>
                <w:lang w:val="en-US" w:eastAsia="uk-UA"/>
              </w:rPr>
              <w:t>lps</w:t>
            </w:r>
            <w:proofErr w:type="spellEnd"/>
          </w:p>
        </w:tc>
        <w:tc>
          <w:tcPr>
            <w:tcW w:w="978" w:type="dxa"/>
            <w:vAlign w:val="center"/>
          </w:tcPr>
          <w:p w:rsidR="002272D0" w:rsidRPr="002272D0" w:rsidRDefault="002272D0" w:rsidP="002272D0">
            <w:pPr>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lastRenderedPageBreak/>
              <w:t>1</w:t>
            </w:r>
          </w:p>
        </w:tc>
        <w:tc>
          <w:tcPr>
            <w:tcW w:w="1690" w:type="dxa"/>
            <w:vAlign w:val="center"/>
          </w:tcPr>
          <w:p w:rsidR="002272D0" w:rsidRPr="002272D0" w:rsidRDefault="002272D0" w:rsidP="002272D0">
            <w:pPr>
              <w:jc w:val="center"/>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i/>
                <w:sz w:val="26"/>
                <w:szCs w:val="26"/>
                <w:lang w:val="en-US" w:eastAsia="uk-UA"/>
              </w:rPr>
              <w:t>157 362,76</w:t>
            </w:r>
          </w:p>
        </w:tc>
        <w:tc>
          <w:tcPr>
            <w:tcW w:w="1613" w:type="dxa"/>
            <w:vAlign w:val="center"/>
          </w:tcPr>
          <w:p w:rsidR="002272D0" w:rsidRPr="002272D0" w:rsidRDefault="002272D0" w:rsidP="002272D0">
            <w:pPr>
              <w:jc w:val="center"/>
              <w:rPr>
                <w:rFonts w:ascii="Times New Roman" w:eastAsia="Times New Roman" w:hAnsi="Times New Roman" w:cs="Times New Roman"/>
                <w:i/>
                <w:sz w:val="26"/>
                <w:szCs w:val="26"/>
                <w:lang w:eastAsia="uk-UA"/>
              </w:rPr>
            </w:pPr>
            <w:r w:rsidRPr="002272D0">
              <w:rPr>
                <w:rFonts w:ascii="Times New Roman" w:eastAsia="Times New Roman" w:hAnsi="Times New Roman" w:cs="Times New Roman"/>
                <w:i/>
                <w:sz w:val="26"/>
                <w:szCs w:val="26"/>
                <w:lang w:eastAsia="uk-UA"/>
              </w:rPr>
              <w:t>188 835,31</w:t>
            </w:r>
          </w:p>
        </w:tc>
      </w:tr>
      <w:tr w:rsidR="002272D0" w:rsidRPr="002272D0" w:rsidTr="00D301C6">
        <w:trPr>
          <w:trHeight w:val="406"/>
        </w:trPr>
        <w:tc>
          <w:tcPr>
            <w:tcW w:w="8305" w:type="dxa"/>
            <w:gridSpan w:val="5"/>
            <w:vAlign w:val="center"/>
          </w:tcPr>
          <w:p w:rsidR="002272D0" w:rsidRPr="002272D0" w:rsidRDefault="002272D0" w:rsidP="002272D0">
            <w:pPr>
              <w:jc w:val="right"/>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b/>
                <w:i/>
                <w:sz w:val="26"/>
                <w:szCs w:val="26"/>
                <w:lang w:eastAsia="uk-UA"/>
              </w:rPr>
              <w:lastRenderedPageBreak/>
              <w:t>Всього, грн. без ПДВ</w:t>
            </w:r>
          </w:p>
        </w:tc>
        <w:tc>
          <w:tcPr>
            <w:tcW w:w="1613" w:type="dxa"/>
            <w:vAlign w:val="center"/>
          </w:tcPr>
          <w:p w:rsidR="002272D0" w:rsidRPr="002272D0" w:rsidRDefault="002272D0" w:rsidP="002272D0">
            <w:pPr>
              <w:jc w:val="center"/>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445 656,47</w:t>
            </w:r>
          </w:p>
        </w:tc>
      </w:tr>
      <w:tr w:rsidR="002272D0" w:rsidRPr="002272D0" w:rsidTr="00D301C6">
        <w:trPr>
          <w:trHeight w:val="465"/>
        </w:trPr>
        <w:tc>
          <w:tcPr>
            <w:tcW w:w="8305" w:type="dxa"/>
            <w:gridSpan w:val="5"/>
          </w:tcPr>
          <w:p w:rsidR="002272D0" w:rsidRPr="002272D0" w:rsidRDefault="002272D0" w:rsidP="002272D0">
            <w:pPr>
              <w:jc w:val="right"/>
              <w:rPr>
                <w:rFonts w:ascii="Times New Roman" w:eastAsia="Times New Roman" w:hAnsi="Times New Roman" w:cs="Times New Roman"/>
                <w:i/>
                <w:sz w:val="26"/>
                <w:szCs w:val="26"/>
                <w:lang w:val="en-US" w:eastAsia="uk-UA"/>
              </w:rPr>
            </w:pPr>
            <w:r w:rsidRPr="002272D0">
              <w:rPr>
                <w:rFonts w:ascii="Times New Roman" w:eastAsia="Times New Roman" w:hAnsi="Times New Roman" w:cs="Times New Roman"/>
                <w:b/>
                <w:i/>
                <w:sz w:val="26"/>
                <w:szCs w:val="26"/>
                <w:lang w:eastAsia="uk-UA"/>
              </w:rPr>
              <w:t>Всього, грн. з ПДВ</w:t>
            </w:r>
          </w:p>
        </w:tc>
        <w:tc>
          <w:tcPr>
            <w:tcW w:w="1613" w:type="dxa"/>
            <w:vAlign w:val="center"/>
          </w:tcPr>
          <w:p w:rsidR="002272D0" w:rsidRPr="002272D0" w:rsidRDefault="002272D0" w:rsidP="002272D0">
            <w:pPr>
              <w:jc w:val="center"/>
              <w:rPr>
                <w:rFonts w:ascii="Times New Roman" w:eastAsia="Times New Roman" w:hAnsi="Times New Roman" w:cs="Times New Roman"/>
                <w:b/>
                <w:i/>
                <w:sz w:val="26"/>
                <w:szCs w:val="26"/>
                <w:lang w:eastAsia="uk-UA"/>
              </w:rPr>
            </w:pPr>
            <w:r w:rsidRPr="002272D0">
              <w:rPr>
                <w:rFonts w:ascii="Times New Roman" w:eastAsia="Times New Roman" w:hAnsi="Times New Roman" w:cs="Times New Roman"/>
                <w:b/>
                <w:i/>
                <w:sz w:val="26"/>
                <w:szCs w:val="26"/>
                <w:lang w:eastAsia="uk-UA"/>
              </w:rPr>
              <w:t>534 787,76</w:t>
            </w:r>
          </w:p>
        </w:tc>
      </w:tr>
    </w:tbl>
    <w:p w:rsidR="002272D0" w:rsidRDefault="002272D0" w:rsidP="00D82DB2">
      <w:pPr>
        <w:jc w:val="both"/>
        <w:rPr>
          <w:rFonts w:ascii="Times New Roman" w:hAnsi="Times New Roman" w:cs="Times New Roman"/>
          <w:sz w:val="24"/>
          <w:szCs w:val="24"/>
        </w:rPr>
      </w:pPr>
    </w:p>
    <w:p w:rsidR="002272D0" w:rsidRDefault="002272D0" w:rsidP="00D82DB2">
      <w:pPr>
        <w:jc w:val="both"/>
        <w:rPr>
          <w:rFonts w:ascii="Times New Roman" w:hAnsi="Times New Roman" w:cs="Times New Roman"/>
          <w:sz w:val="24"/>
          <w:szCs w:val="24"/>
        </w:rPr>
      </w:pPr>
    </w:p>
    <w:p w:rsidR="00D82DB2" w:rsidRPr="00D82DB2" w:rsidRDefault="00D82DB2" w:rsidP="00D82DB2">
      <w:pPr>
        <w:jc w:val="both"/>
        <w:rPr>
          <w:rFonts w:ascii="Times New Roman" w:hAnsi="Times New Roman" w:cs="Times New Roman"/>
          <w:sz w:val="24"/>
          <w:szCs w:val="24"/>
        </w:rPr>
      </w:pPr>
      <w:r w:rsidRPr="00B461B5">
        <w:rPr>
          <w:rFonts w:ascii="Times New Roman" w:hAnsi="Times New Roman" w:cs="Times New Roman"/>
          <w:sz w:val="24"/>
          <w:szCs w:val="24"/>
        </w:rPr>
        <w:t>Також здійснено пошуковий запит щодо можливих постачальників відповідних послуг в регіоні замовника та здійснено аналіз відповідних підписаних контрактів в регіоні замовника.</w:t>
      </w:r>
      <w:bookmarkStart w:id="0" w:name="_GoBack"/>
      <w:bookmarkEnd w:id="0"/>
    </w:p>
    <w:p w:rsidR="00D82DB2" w:rsidRPr="00D82DB2" w:rsidRDefault="00D82DB2" w:rsidP="00D82DB2">
      <w:pPr>
        <w:jc w:val="both"/>
        <w:rPr>
          <w:rFonts w:ascii="Times New Roman" w:hAnsi="Times New Roman" w:cs="Times New Roman"/>
          <w:sz w:val="24"/>
          <w:szCs w:val="24"/>
        </w:rPr>
      </w:pPr>
      <w:r w:rsidRPr="00D82DB2">
        <w:rPr>
          <w:rFonts w:ascii="Times New Roman" w:hAnsi="Times New Roman" w:cs="Times New Roman"/>
          <w:sz w:val="24"/>
          <w:szCs w:val="24"/>
        </w:rPr>
        <w:t>Відповідно до рішення виконавчого комітету Львівської міської ради №</w:t>
      </w:r>
      <w:r w:rsidR="002272D0">
        <w:rPr>
          <w:rFonts w:ascii="Times New Roman" w:hAnsi="Times New Roman" w:cs="Times New Roman"/>
          <w:sz w:val="24"/>
          <w:szCs w:val="24"/>
        </w:rPr>
        <w:t xml:space="preserve"> 112</w:t>
      </w:r>
      <w:r w:rsidRPr="00D82DB2">
        <w:rPr>
          <w:rFonts w:ascii="Times New Roman" w:hAnsi="Times New Roman" w:cs="Times New Roman"/>
          <w:sz w:val="24"/>
          <w:szCs w:val="24"/>
        </w:rPr>
        <w:t xml:space="preserve"> від 0</w:t>
      </w:r>
      <w:r w:rsidR="002272D0">
        <w:rPr>
          <w:rFonts w:ascii="Times New Roman" w:hAnsi="Times New Roman" w:cs="Times New Roman"/>
          <w:sz w:val="24"/>
          <w:szCs w:val="24"/>
        </w:rPr>
        <w:t>7.02.2023 (зі змінами від 12.09.2023 року) «Про затвердження на 2023</w:t>
      </w:r>
      <w:r w:rsidRPr="00D82DB2">
        <w:rPr>
          <w:rFonts w:ascii="Times New Roman" w:hAnsi="Times New Roman" w:cs="Times New Roman"/>
          <w:sz w:val="24"/>
          <w:szCs w:val="24"/>
        </w:rPr>
        <w:t xml:space="preserve"> рік кошторису Програми цифрового перетворення Львівської міської територіальної громади на 2021-2025 роки» на закупівлю ліцензій антивірусного програ</w:t>
      </w:r>
      <w:r w:rsidR="002272D0">
        <w:rPr>
          <w:rFonts w:ascii="Times New Roman" w:hAnsi="Times New Roman" w:cs="Times New Roman"/>
          <w:sz w:val="24"/>
          <w:szCs w:val="24"/>
        </w:rPr>
        <w:t>много забезпечення  виділено 1 15</w:t>
      </w:r>
      <w:r w:rsidRPr="00D82DB2">
        <w:rPr>
          <w:rFonts w:ascii="Times New Roman" w:hAnsi="Times New Roman" w:cs="Times New Roman"/>
          <w:sz w:val="24"/>
          <w:szCs w:val="24"/>
        </w:rPr>
        <w:t>0 000 грн.</w:t>
      </w:r>
    </w:p>
    <w:p w:rsidR="00C877D8" w:rsidRPr="00D82DB2" w:rsidRDefault="00D82DB2" w:rsidP="00D82DB2">
      <w:pPr>
        <w:jc w:val="both"/>
        <w:rPr>
          <w:rFonts w:ascii="Times New Roman" w:hAnsi="Times New Roman" w:cs="Times New Roman"/>
        </w:rPr>
      </w:pPr>
      <w:r w:rsidRPr="00D82DB2">
        <w:rPr>
          <w:rFonts w:ascii="Times New Roman" w:hAnsi="Times New Roman" w:cs="Times New Roman"/>
          <w:sz w:val="24"/>
          <w:szCs w:val="24"/>
        </w:rPr>
        <w:t xml:space="preserve">Інформація про необхідні технічні, якісні та кількісні характеристики предмета закупівлі (Технічна специфікація) оприлюднена на </w:t>
      </w:r>
      <w:proofErr w:type="spellStart"/>
      <w:r w:rsidRPr="00D82DB2">
        <w:rPr>
          <w:rFonts w:ascii="Times New Roman" w:hAnsi="Times New Roman" w:cs="Times New Roman"/>
          <w:sz w:val="24"/>
          <w:szCs w:val="24"/>
        </w:rPr>
        <w:t>веб-порталі</w:t>
      </w:r>
      <w:proofErr w:type="spellEnd"/>
      <w:r w:rsidRPr="00D82DB2">
        <w:rPr>
          <w:rFonts w:ascii="Times New Roman" w:hAnsi="Times New Roman" w:cs="Times New Roman"/>
          <w:sz w:val="24"/>
          <w:szCs w:val="24"/>
        </w:rPr>
        <w:t xml:space="preserve"> Уповноваженого органу (https://prozorro.gov.ua).</w:t>
      </w:r>
    </w:p>
    <w:sectPr w:rsidR="00C877D8" w:rsidRPr="00D82D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F03CB"/>
    <w:multiLevelType w:val="hybridMultilevel"/>
    <w:tmpl w:val="3B4406BA"/>
    <w:lvl w:ilvl="0" w:tplc="9CC81E6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DB2"/>
    <w:rsid w:val="001E1F7D"/>
    <w:rsid w:val="002272D0"/>
    <w:rsid w:val="00B461B5"/>
    <w:rsid w:val="00C877D8"/>
    <w:rsid w:val="00D82D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firstLine="45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DB2"/>
    <w:pPr>
      <w:spacing w:after="160" w:line="259"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DB2"/>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82DB2"/>
    <w:rPr>
      <w:color w:val="0000FF" w:themeColor="hyperlink"/>
      <w:u w:val="single"/>
    </w:rPr>
  </w:style>
  <w:style w:type="character" w:customStyle="1" w:styleId="nr-t">
    <w:name w:val="nr-t"/>
    <w:basedOn w:val="a0"/>
    <w:rsid w:val="00D82DB2"/>
  </w:style>
  <w:style w:type="character" w:customStyle="1" w:styleId="normaltextrun">
    <w:name w:val="normaltextrun"/>
    <w:basedOn w:val="a0"/>
    <w:rsid w:val="002272D0"/>
  </w:style>
  <w:style w:type="table" w:customStyle="1" w:styleId="1">
    <w:name w:val="Сітка таблиці1"/>
    <w:basedOn w:val="a1"/>
    <w:next w:val="a3"/>
    <w:uiPriority w:val="39"/>
    <w:rsid w:val="002272D0"/>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firstLine="45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DB2"/>
    <w:pPr>
      <w:spacing w:after="160" w:line="259"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DB2"/>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82DB2"/>
    <w:rPr>
      <w:color w:val="0000FF" w:themeColor="hyperlink"/>
      <w:u w:val="single"/>
    </w:rPr>
  </w:style>
  <w:style w:type="character" w:customStyle="1" w:styleId="nr-t">
    <w:name w:val="nr-t"/>
    <w:basedOn w:val="a0"/>
    <w:rsid w:val="00D82DB2"/>
  </w:style>
  <w:style w:type="character" w:customStyle="1" w:styleId="normaltextrun">
    <w:name w:val="normaltextrun"/>
    <w:basedOn w:val="a0"/>
    <w:rsid w:val="002272D0"/>
  </w:style>
  <w:style w:type="table" w:customStyle="1" w:styleId="1">
    <w:name w:val="Сітка таблиці1"/>
    <w:basedOn w:val="a1"/>
    <w:next w:val="a3"/>
    <w:uiPriority w:val="39"/>
    <w:rsid w:val="002272D0"/>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3" Type="http://schemas.microsoft.com/office/2007/relationships/stylesWithEffects" Target="stylesWithEffects.xml"/><Relationship Id="rId7" Type="http://schemas.openxmlformats.org/officeDocument/2006/relationships/hyperlink" Target="https://gov.e-tender.ua/tender/programne-zabezpechennya/UA-2023-09-18-013297-a-prohramna-produkcziya-qualys-abo-ekvival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e-tender.ua/tender/programne-zabezpechennya/UA-2023-09-18-013297-a-prohramna-produkcziya-qualys-abo-ekvivalen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4307</Words>
  <Characters>2456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2023-09-22T09:44:00Z</dcterms:created>
  <dcterms:modified xsi:type="dcterms:W3CDTF">2023-09-22T09:53:00Z</dcterms:modified>
</cp:coreProperties>
</file>