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9AB" w:rsidRDefault="007C29AB" w:rsidP="007C29AB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Публікація в газеті «Львівська пошта» № 49 (2475) від 6 грудня </w:t>
      </w:r>
    </w:p>
    <w:p w:rsidR="007C29AB" w:rsidRPr="00C9306A" w:rsidRDefault="007C29AB" w:rsidP="007C29AB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2023 року</w:t>
      </w:r>
    </w:p>
    <w:p w:rsidR="007C29AB" w:rsidRPr="00C9306A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ab/>
      </w:r>
      <w:r>
        <w:rPr>
          <w:rFonts w:ascii="Arial" w:eastAsia="Times New Roman" w:hAnsi="Arial" w:cs="Arial"/>
          <w:noProof/>
          <w:sz w:val="24"/>
          <w:szCs w:val="24"/>
        </w:rPr>
        <w:tab/>
      </w:r>
      <w:r>
        <w:rPr>
          <w:rFonts w:ascii="Arial" w:eastAsia="Times New Roman" w:hAnsi="Arial" w:cs="Arial"/>
          <w:noProof/>
          <w:sz w:val="24"/>
          <w:szCs w:val="24"/>
        </w:rPr>
        <w:tab/>
      </w:r>
      <w:r w:rsidRPr="00C9306A">
        <w:rPr>
          <w:rFonts w:ascii="Arial" w:eastAsia="Times New Roman" w:hAnsi="Arial" w:cs="Arial"/>
          <w:noProof/>
          <w:sz w:val="24"/>
          <w:szCs w:val="24"/>
        </w:rPr>
        <w:t>Повідомлення про намір отримати дозвіл</w:t>
      </w:r>
    </w:p>
    <w:p w:rsidR="007C29AB" w:rsidRPr="00C9306A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9306A">
        <w:rPr>
          <w:rFonts w:ascii="Arial" w:eastAsia="Times New Roman" w:hAnsi="Arial" w:cs="Arial"/>
          <w:noProof/>
          <w:sz w:val="24"/>
          <w:szCs w:val="24"/>
        </w:rPr>
        <w:t>Повне та скорочене найменування суб’єк</w:t>
      </w:r>
      <w:r>
        <w:rPr>
          <w:rFonts w:ascii="Arial" w:eastAsia="Times New Roman" w:hAnsi="Arial" w:cs="Arial"/>
          <w:noProof/>
          <w:sz w:val="24"/>
          <w:szCs w:val="24"/>
        </w:rPr>
        <w:t xml:space="preserve">та господарювання: Товариство з </w:t>
      </w:r>
      <w:r w:rsidRPr="00C9306A">
        <w:rPr>
          <w:rFonts w:ascii="Arial" w:eastAsia="Times New Roman" w:hAnsi="Arial" w:cs="Arial"/>
          <w:noProof/>
          <w:sz w:val="24"/>
          <w:szCs w:val="24"/>
        </w:rPr>
        <w:t>обмеженою відповідальністю «ОККО-ДРАЙВ» (ТОВ «ОККО-ДРАЙВ»)</w:t>
      </w:r>
    </w:p>
    <w:p w:rsidR="007C29AB" w:rsidRPr="00C9306A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9306A">
        <w:rPr>
          <w:rFonts w:ascii="Arial" w:eastAsia="Times New Roman" w:hAnsi="Arial" w:cs="Arial"/>
          <w:noProof/>
          <w:sz w:val="24"/>
          <w:szCs w:val="24"/>
        </w:rPr>
        <w:t>Ідентифікаційний код суб’єкта господарювання за ЄДРПОУ: 20122395</w:t>
      </w:r>
    </w:p>
    <w:p w:rsidR="007C29AB" w:rsidRPr="00C9306A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9306A">
        <w:rPr>
          <w:rFonts w:ascii="Arial" w:eastAsia="Times New Roman" w:hAnsi="Arial" w:cs="Arial"/>
          <w:noProof/>
          <w:sz w:val="24"/>
          <w:szCs w:val="24"/>
        </w:rPr>
        <w:t>Місцезнаходження суб’єкта господарюва</w:t>
      </w:r>
      <w:r>
        <w:rPr>
          <w:rFonts w:ascii="Arial" w:eastAsia="Times New Roman" w:hAnsi="Arial" w:cs="Arial"/>
          <w:noProof/>
          <w:sz w:val="24"/>
          <w:szCs w:val="24"/>
        </w:rPr>
        <w:t xml:space="preserve">ння, контактний номер телефону, </w:t>
      </w:r>
      <w:r w:rsidRPr="00C9306A">
        <w:rPr>
          <w:rFonts w:ascii="Arial" w:eastAsia="Times New Roman" w:hAnsi="Arial" w:cs="Arial"/>
          <w:noProof/>
          <w:sz w:val="24"/>
          <w:szCs w:val="24"/>
        </w:rPr>
        <w:t>адреса електронної пошти: 82660, Львівська обл., Стрийський р-н, смт. Славсько, вул.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C9306A">
        <w:rPr>
          <w:rFonts w:ascii="Arial" w:eastAsia="Times New Roman" w:hAnsi="Arial" w:cs="Arial"/>
          <w:noProof/>
          <w:sz w:val="24"/>
          <w:szCs w:val="24"/>
        </w:rPr>
        <w:t>Франка Івана, 14-А, тел: +38(032) 29-89-601, office@gng.com.ua</w:t>
      </w:r>
    </w:p>
    <w:p w:rsidR="007C29AB" w:rsidRPr="00C9306A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>Місцезнаходження об’єкта: АЗС № 92   79052, м. Львів, Широка, 97</w:t>
      </w:r>
      <w:r w:rsidRPr="00C9306A">
        <w:rPr>
          <w:rFonts w:ascii="Arial" w:eastAsia="Times New Roman" w:hAnsi="Arial" w:cs="Arial"/>
          <w:noProof/>
          <w:sz w:val="24"/>
          <w:szCs w:val="24"/>
        </w:rPr>
        <w:t>.</w:t>
      </w:r>
    </w:p>
    <w:p w:rsidR="007C29AB" w:rsidRPr="00C9306A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9306A">
        <w:rPr>
          <w:rFonts w:ascii="Arial" w:eastAsia="Times New Roman" w:hAnsi="Arial" w:cs="Arial"/>
          <w:noProof/>
          <w:sz w:val="24"/>
          <w:szCs w:val="24"/>
        </w:rPr>
        <w:t xml:space="preserve">Мета отримання дозволу на викиди: Отримання </w:t>
      </w:r>
      <w:r>
        <w:rPr>
          <w:rFonts w:ascii="Arial" w:eastAsia="Times New Roman" w:hAnsi="Arial" w:cs="Arial"/>
          <w:noProof/>
          <w:sz w:val="24"/>
          <w:szCs w:val="24"/>
        </w:rPr>
        <w:t xml:space="preserve">дозволу на викиди для існуючого </w:t>
      </w:r>
      <w:r w:rsidRPr="00C9306A">
        <w:rPr>
          <w:rFonts w:ascii="Arial" w:eastAsia="Times New Roman" w:hAnsi="Arial" w:cs="Arial"/>
          <w:noProof/>
          <w:sz w:val="24"/>
          <w:szCs w:val="24"/>
        </w:rPr>
        <w:t>об’єкту АЗС №31, який відносяться до третьої групи об</w:t>
      </w:r>
      <w:r>
        <w:rPr>
          <w:rFonts w:ascii="Arial" w:eastAsia="Times New Roman" w:hAnsi="Arial" w:cs="Arial"/>
          <w:noProof/>
          <w:sz w:val="24"/>
          <w:szCs w:val="24"/>
        </w:rPr>
        <w:t xml:space="preserve">’єктів за складом документів, у </w:t>
      </w:r>
      <w:r w:rsidRPr="00C9306A">
        <w:rPr>
          <w:rFonts w:ascii="Arial" w:eastAsia="Times New Roman" w:hAnsi="Arial" w:cs="Arial"/>
          <w:noProof/>
          <w:sz w:val="24"/>
          <w:szCs w:val="24"/>
        </w:rPr>
        <w:t>яких обґрунтовуються обсяги викидів, в залежності від ступе</w:t>
      </w:r>
      <w:r>
        <w:rPr>
          <w:rFonts w:ascii="Arial" w:eastAsia="Times New Roman" w:hAnsi="Arial" w:cs="Arial"/>
          <w:noProof/>
          <w:sz w:val="24"/>
          <w:szCs w:val="24"/>
        </w:rPr>
        <w:t xml:space="preserve">ня впливу об’єкта на </w:t>
      </w:r>
      <w:r w:rsidRPr="00C9306A">
        <w:rPr>
          <w:rFonts w:ascii="Arial" w:eastAsia="Times New Roman" w:hAnsi="Arial" w:cs="Arial"/>
          <w:noProof/>
          <w:sz w:val="24"/>
          <w:szCs w:val="24"/>
        </w:rPr>
        <w:t>забруднення атмосферного повітря.</w:t>
      </w:r>
    </w:p>
    <w:p w:rsidR="007C29AB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9306A">
        <w:rPr>
          <w:rFonts w:ascii="Arial" w:eastAsia="Times New Roman" w:hAnsi="Arial" w:cs="Arial"/>
          <w:noProof/>
          <w:sz w:val="24"/>
          <w:szCs w:val="24"/>
        </w:rPr>
        <w:t xml:space="preserve">Відомості про наявність висновку з оцінки впливу на довкілля: </w:t>
      </w:r>
    </w:p>
    <w:p w:rsidR="007C29AB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9C3E4D">
        <w:rPr>
          <w:rFonts w:ascii="Arial" w:eastAsia="Times New Roman" w:hAnsi="Arial" w:cs="Arial"/>
          <w:noProof/>
          <w:sz w:val="24"/>
          <w:szCs w:val="24"/>
        </w:rPr>
        <w:t>Відповідно до Закону України «Про оцінку впливу</w:t>
      </w:r>
      <w:r>
        <w:rPr>
          <w:rFonts w:ascii="Arial" w:eastAsia="Times New Roman" w:hAnsi="Arial" w:cs="Arial"/>
          <w:noProof/>
          <w:sz w:val="24"/>
          <w:szCs w:val="24"/>
        </w:rPr>
        <w:t xml:space="preserve"> на довкілля» не поширюється на </w:t>
      </w:r>
      <w:r w:rsidRPr="009C3E4D">
        <w:rPr>
          <w:rFonts w:ascii="Arial" w:eastAsia="Times New Roman" w:hAnsi="Arial" w:cs="Arial"/>
          <w:noProof/>
          <w:sz w:val="24"/>
          <w:szCs w:val="24"/>
        </w:rPr>
        <w:t>суб’єктів господарювання, до набрання чинності ць</w:t>
      </w:r>
      <w:r>
        <w:rPr>
          <w:rFonts w:ascii="Arial" w:eastAsia="Times New Roman" w:hAnsi="Arial" w:cs="Arial"/>
          <w:noProof/>
          <w:sz w:val="24"/>
          <w:szCs w:val="24"/>
        </w:rPr>
        <w:t xml:space="preserve">ого Закону, так як технологічне </w:t>
      </w:r>
      <w:r w:rsidRPr="009C3E4D">
        <w:rPr>
          <w:rFonts w:ascii="Arial" w:eastAsia="Times New Roman" w:hAnsi="Arial" w:cs="Arial"/>
          <w:noProof/>
          <w:sz w:val="24"/>
          <w:szCs w:val="24"/>
        </w:rPr>
        <w:t>обладнання автозаправної станції (АЗС) прийнято в ек</w:t>
      </w:r>
      <w:r>
        <w:rPr>
          <w:rFonts w:ascii="Arial" w:eastAsia="Times New Roman" w:hAnsi="Arial" w:cs="Arial"/>
          <w:noProof/>
          <w:sz w:val="24"/>
          <w:szCs w:val="24"/>
        </w:rPr>
        <w:t xml:space="preserve">сплуатацію 2005р, модуль АГЗП – </w:t>
      </w:r>
      <w:r w:rsidRPr="009C3E4D">
        <w:rPr>
          <w:rFonts w:ascii="Arial" w:eastAsia="Times New Roman" w:hAnsi="Arial" w:cs="Arial"/>
          <w:noProof/>
          <w:sz w:val="24"/>
          <w:szCs w:val="24"/>
        </w:rPr>
        <w:t>2006р.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Проходження процедури ОВД не є необхід</w:t>
      </w:r>
      <w:r>
        <w:rPr>
          <w:rFonts w:ascii="Arial" w:eastAsia="Times New Roman" w:hAnsi="Arial" w:cs="Arial"/>
          <w:noProof/>
          <w:sz w:val="24"/>
          <w:szCs w:val="24"/>
        </w:rPr>
        <w:t xml:space="preserve">ним, оскільки об’єкт введений в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експлуатацію до введення в дію ЗУ «Про ОВД», що визначено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ст. 17 цього закону в п 1 і 2. </w:t>
      </w:r>
      <w:r w:rsidRPr="00C410BF">
        <w:rPr>
          <w:rFonts w:ascii="Arial" w:eastAsia="Times New Roman" w:hAnsi="Arial" w:cs="Arial"/>
          <w:noProof/>
          <w:sz w:val="24"/>
          <w:szCs w:val="24"/>
        </w:rPr>
        <w:t xml:space="preserve">Також за період експлуатації об’єкт не зазнав змін передбачених </w:t>
      </w:r>
      <w:r>
        <w:rPr>
          <w:rFonts w:ascii="Arial" w:eastAsia="Times New Roman" w:hAnsi="Arial" w:cs="Arial"/>
          <w:noProof/>
          <w:sz w:val="24"/>
          <w:szCs w:val="24"/>
        </w:rPr>
        <w:t xml:space="preserve">пунктом 22 частини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другої та пунктом 14 частини третьої статті 3 ЗУ «Про ОВД».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Загальний опис об’єкта. ТОВ «ОККО-ДРАЙВ» спеціалізується на торгівлі паливом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на АЗС (потужністю до 150 заправок на добу по світлим</w:t>
      </w:r>
      <w:r>
        <w:rPr>
          <w:rFonts w:ascii="Arial" w:eastAsia="Times New Roman" w:hAnsi="Arial" w:cs="Arial"/>
          <w:noProof/>
          <w:sz w:val="24"/>
          <w:szCs w:val="24"/>
        </w:rPr>
        <w:t xml:space="preserve"> нафтопродуктам та 100 заправок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на добу по скрапленому/зрідженому газу) і оснащена стаціонарного типу з комплексом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будівель для прийому, зберіганню та відпуску нафтопр</w:t>
      </w:r>
      <w:r>
        <w:rPr>
          <w:rFonts w:ascii="Arial" w:eastAsia="Times New Roman" w:hAnsi="Arial" w:cs="Arial"/>
          <w:noProof/>
          <w:sz w:val="24"/>
          <w:szCs w:val="24"/>
        </w:rPr>
        <w:t xml:space="preserve">одуктів з підземним розміщенням </w:t>
      </w:r>
      <w:r w:rsidRPr="00C410BF">
        <w:rPr>
          <w:rFonts w:ascii="Arial" w:eastAsia="Times New Roman" w:hAnsi="Arial" w:cs="Arial"/>
          <w:noProof/>
          <w:sz w:val="24"/>
          <w:szCs w:val="24"/>
        </w:rPr>
        <w:t>резервуарів для нафтопродуктів, модулем АГЗП та із стаціонарно встановленими ПРК.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Заправка автомобілів та інших видів транспорту здійснюється дизельним паливом (ДП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ЄВРО, ДП Пульс), бензином (А-95 ЄВРО, А-95 Пульс) та скрапленим/зрідженим газом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(пропан-бутан).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На АЗС застосована сучасна технологічна схе</w:t>
      </w:r>
      <w:r>
        <w:rPr>
          <w:rFonts w:ascii="Arial" w:eastAsia="Times New Roman" w:hAnsi="Arial" w:cs="Arial"/>
          <w:noProof/>
          <w:sz w:val="24"/>
          <w:szCs w:val="24"/>
        </w:rPr>
        <w:t xml:space="preserve">ма заправлення автотранспорту з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використанням сучасного обладнання, забезпеченого системами сигналізації, обліку і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тощо і відноситься до найбільш екологічно безпе</w:t>
      </w:r>
      <w:r>
        <w:rPr>
          <w:rFonts w:ascii="Arial" w:eastAsia="Times New Roman" w:hAnsi="Arial" w:cs="Arial"/>
          <w:noProof/>
          <w:sz w:val="24"/>
          <w:szCs w:val="24"/>
        </w:rPr>
        <w:t xml:space="preserve">чного обладнання в даний час на </w:t>
      </w:r>
      <w:r w:rsidRPr="00C410BF">
        <w:rPr>
          <w:rFonts w:ascii="Arial" w:eastAsia="Times New Roman" w:hAnsi="Arial" w:cs="Arial"/>
          <w:noProof/>
          <w:sz w:val="24"/>
          <w:szCs w:val="24"/>
        </w:rPr>
        <w:t>європейському ринку та пройшло державні випробування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та допущені до застосування на </w:t>
      </w:r>
      <w:r w:rsidRPr="00C410BF">
        <w:rPr>
          <w:rFonts w:ascii="Arial" w:eastAsia="Times New Roman" w:hAnsi="Arial" w:cs="Arial"/>
          <w:noProof/>
          <w:sz w:val="24"/>
          <w:szCs w:val="24"/>
        </w:rPr>
        <w:t>Україні. Планова діяльність об’єкту не впливає на промис</w:t>
      </w:r>
      <w:r>
        <w:rPr>
          <w:rFonts w:ascii="Arial" w:eastAsia="Times New Roman" w:hAnsi="Arial" w:cs="Arial"/>
          <w:noProof/>
          <w:sz w:val="24"/>
          <w:szCs w:val="24"/>
        </w:rPr>
        <w:t xml:space="preserve">лові, житлово-цивільні об’єкти,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пам’ятники архітектури, наземні і підземні споруд</w:t>
      </w:r>
      <w:r>
        <w:rPr>
          <w:rFonts w:ascii="Arial" w:eastAsia="Times New Roman" w:hAnsi="Arial" w:cs="Arial"/>
          <w:noProof/>
          <w:sz w:val="24"/>
          <w:szCs w:val="24"/>
        </w:rPr>
        <w:t xml:space="preserve">и та інші елементи техногенного </w:t>
      </w:r>
      <w:r w:rsidRPr="00C410BF">
        <w:rPr>
          <w:rFonts w:ascii="Arial" w:eastAsia="Times New Roman" w:hAnsi="Arial" w:cs="Arial"/>
          <w:noProof/>
          <w:sz w:val="24"/>
          <w:szCs w:val="24"/>
        </w:rPr>
        <w:t>середовища.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Згідно з вимогами ДСП 173-96, відстань від автозаправних станцій з підземни</w:t>
      </w:r>
      <w:r>
        <w:rPr>
          <w:rFonts w:ascii="Arial" w:eastAsia="Times New Roman" w:hAnsi="Arial" w:cs="Arial"/>
          <w:noProof/>
          <w:sz w:val="24"/>
          <w:szCs w:val="24"/>
        </w:rPr>
        <w:t xml:space="preserve">ми </w:t>
      </w:r>
      <w:r w:rsidRPr="00C410BF">
        <w:rPr>
          <w:rFonts w:ascii="Arial" w:eastAsia="Times New Roman" w:hAnsi="Arial" w:cs="Arial"/>
          <w:noProof/>
          <w:sz w:val="24"/>
          <w:szCs w:val="24"/>
        </w:rPr>
        <w:t>резервуарами для зберігання рідкого палива до меж ділян</w:t>
      </w:r>
      <w:r>
        <w:rPr>
          <w:rFonts w:ascii="Arial" w:eastAsia="Times New Roman" w:hAnsi="Arial" w:cs="Arial"/>
          <w:noProof/>
          <w:sz w:val="24"/>
          <w:szCs w:val="24"/>
        </w:rPr>
        <w:t xml:space="preserve">ок дитячих дошкільних закладів,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загальноосвітніх шкіл, шкіл-інтернатів, лікувально-п</w:t>
      </w:r>
      <w:r>
        <w:rPr>
          <w:rFonts w:ascii="Arial" w:eastAsia="Times New Roman" w:hAnsi="Arial" w:cs="Arial"/>
          <w:noProof/>
          <w:sz w:val="24"/>
          <w:szCs w:val="24"/>
        </w:rPr>
        <w:t xml:space="preserve">рофілактичних закладів, до стін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житлових та інших громадських будівель і споруд, дитячих ігрових майданчиків і міс</w:t>
      </w:r>
      <w:r>
        <w:rPr>
          <w:rFonts w:ascii="Arial" w:eastAsia="Times New Roman" w:hAnsi="Arial" w:cs="Arial"/>
          <w:noProof/>
          <w:sz w:val="24"/>
          <w:szCs w:val="24"/>
        </w:rPr>
        <w:t xml:space="preserve">ць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відпочинку населення слід приймати за розрахунком з</w:t>
      </w:r>
      <w:r>
        <w:rPr>
          <w:rFonts w:ascii="Arial" w:eastAsia="Times New Roman" w:hAnsi="Arial" w:cs="Arial"/>
          <w:noProof/>
          <w:sz w:val="24"/>
          <w:szCs w:val="24"/>
        </w:rPr>
        <w:t xml:space="preserve">абруднення атмосферного повітря </w:t>
      </w:r>
      <w:r w:rsidRPr="00C410BF">
        <w:rPr>
          <w:rFonts w:ascii="Arial" w:eastAsia="Times New Roman" w:hAnsi="Arial" w:cs="Arial"/>
          <w:noProof/>
          <w:sz w:val="24"/>
          <w:szCs w:val="24"/>
        </w:rPr>
        <w:t xml:space="preserve">шкідливими викидами АЗС, але не менше 50 м. З </w:t>
      </w:r>
      <w:r>
        <w:rPr>
          <w:rFonts w:ascii="Arial" w:eastAsia="Times New Roman" w:hAnsi="Arial" w:cs="Arial"/>
          <w:noProof/>
          <w:sz w:val="24"/>
          <w:szCs w:val="24"/>
        </w:rPr>
        <w:t xml:space="preserve">урахуванням модулю АГЗП для АЗС </w:t>
      </w:r>
      <w:r w:rsidRPr="00C410BF">
        <w:rPr>
          <w:rFonts w:ascii="Arial" w:eastAsia="Times New Roman" w:hAnsi="Arial" w:cs="Arial"/>
          <w:noProof/>
          <w:sz w:val="24"/>
          <w:szCs w:val="24"/>
        </w:rPr>
        <w:t>№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C410BF">
        <w:rPr>
          <w:rFonts w:ascii="Arial" w:eastAsia="Times New Roman" w:hAnsi="Arial" w:cs="Arial"/>
          <w:noProof/>
          <w:sz w:val="24"/>
          <w:szCs w:val="24"/>
        </w:rPr>
        <w:t>92 СЗЗ прийнята – 50м як для багатопаливної заправки.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Відомості щодо видів та обсягів викидів за</w:t>
      </w:r>
      <w:r>
        <w:rPr>
          <w:rFonts w:ascii="Arial" w:eastAsia="Times New Roman" w:hAnsi="Arial" w:cs="Arial"/>
          <w:noProof/>
          <w:sz w:val="24"/>
          <w:szCs w:val="24"/>
        </w:rPr>
        <w:t xml:space="preserve">бруднюючих речовин.  Орієнтовні </w:t>
      </w:r>
      <w:r w:rsidRPr="00C410BF">
        <w:rPr>
          <w:rFonts w:ascii="Arial" w:eastAsia="Times New Roman" w:hAnsi="Arial" w:cs="Arial"/>
          <w:noProof/>
          <w:sz w:val="24"/>
          <w:szCs w:val="24"/>
        </w:rPr>
        <w:t>розрахункові максимальні потенційні обсяги ви</w:t>
      </w:r>
      <w:r>
        <w:rPr>
          <w:rFonts w:ascii="Arial" w:eastAsia="Times New Roman" w:hAnsi="Arial" w:cs="Arial"/>
          <w:noProof/>
          <w:sz w:val="24"/>
          <w:szCs w:val="24"/>
        </w:rPr>
        <w:t>кидів по АЗС складають (т/рік):-</w:t>
      </w:r>
      <w:r w:rsidRPr="00C410BF">
        <w:rPr>
          <w:rFonts w:ascii="Arial" w:eastAsia="Times New Roman" w:hAnsi="Arial" w:cs="Arial"/>
          <w:noProof/>
          <w:sz w:val="24"/>
          <w:szCs w:val="24"/>
        </w:rPr>
        <w:t>Сірководень 0,000</w:t>
      </w:r>
      <w:r>
        <w:rPr>
          <w:rFonts w:ascii="Arial" w:eastAsia="Times New Roman" w:hAnsi="Arial" w:cs="Arial"/>
          <w:noProof/>
          <w:sz w:val="24"/>
          <w:szCs w:val="24"/>
        </w:rPr>
        <w:t xml:space="preserve">;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Метан 0,035</w:t>
      </w:r>
      <w:r>
        <w:rPr>
          <w:rFonts w:ascii="Arial" w:eastAsia="Times New Roman" w:hAnsi="Arial" w:cs="Arial"/>
          <w:noProof/>
          <w:sz w:val="24"/>
          <w:szCs w:val="24"/>
        </w:rPr>
        <w:t xml:space="preserve">;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Бензин (нафтовий, малосірчистий, у перерахунку на вуглець) 0,294</w:t>
      </w:r>
      <w:r>
        <w:rPr>
          <w:rFonts w:ascii="Arial" w:eastAsia="Times New Roman" w:hAnsi="Arial" w:cs="Arial"/>
          <w:noProof/>
          <w:sz w:val="24"/>
          <w:szCs w:val="24"/>
        </w:rPr>
        <w:t xml:space="preserve">; Гас 0,000; Бутан 0,171;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Пропан 0,377</w:t>
      </w:r>
      <w:r>
        <w:rPr>
          <w:rFonts w:ascii="Arial" w:eastAsia="Times New Roman" w:hAnsi="Arial" w:cs="Arial"/>
          <w:noProof/>
          <w:sz w:val="24"/>
          <w:szCs w:val="24"/>
        </w:rPr>
        <w:t xml:space="preserve">; </w:t>
      </w:r>
      <w:r w:rsidRPr="00C410BF">
        <w:rPr>
          <w:rFonts w:ascii="Arial" w:eastAsia="Times New Roman" w:hAnsi="Arial" w:cs="Arial"/>
          <w:noProof/>
          <w:sz w:val="24"/>
          <w:szCs w:val="24"/>
        </w:rPr>
        <w:t>Речовини у вигляді суспендованих твердих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частинок недиференційованих за складом </w:t>
      </w:r>
      <w:r w:rsidRPr="00C410BF">
        <w:rPr>
          <w:rFonts w:ascii="Arial" w:eastAsia="Times New Roman" w:hAnsi="Arial" w:cs="Arial"/>
          <w:noProof/>
          <w:sz w:val="24"/>
          <w:szCs w:val="24"/>
        </w:rPr>
        <w:t>0,000</w:t>
      </w:r>
      <w:r>
        <w:rPr>
          <w:rFonts w:ascii="Arial" w:eastAsia="Times New Roman" w:hAnsi="Arial" w:cs="Arial"/>
          <w:noProof/>
          <w:sz w:val="24"/>
          <w:szCs w:val="24"/>
        </w:rPr>
        <w:t xml:space="preserve">;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Оксиди азоту (оксид та діоксид азоту) у перерахунку на діоксид азоту 0,009</w:t>
      </w:r>
      <w:r>
        <w:rPr>
          <w:rFonts w:ascii="Arial" w:eastAsia="Times New Roman" w:hAnsi="Arial" w:cs="Arial"/>
          <w:noProof/>
          <w:sz w:val="24"/>
          <w:szCs w:val="24"/>
        </w:rPr>
        <w:t xml:space="preserve">;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Діоксид сірки (діоксид та триоксид) у перерахунку на діоксид сірки 0,001</w:t>
      </w:r>
      <w:r>
        <w:rPr>
          <w:rFonts w:ascii="Arial" w:eastAsia="Times New Roman" w:hAnsi="Arial" w:cs="Arial"/>
          <w:noProof/>
          <w:sz w:val="24"/>
          <w:szCs w:val="24"/>
        </w:rPr>
        <w:t xml:space="preserve">;  Оксид вуглецю 0,001; Діоксид вуглецю 0,676. </w:t>
      </w:r>
      <w:r w:rsidRPr="00C410BF">
        <w:rPr>
          <w:rFonts w:ascii="Arial" w:eastAsia="Times New Roman" w:hAnsi="Arial" w:cs="Arial"/>
          <w:noProof/>
          <w:sz w:val="24"/>
          <w:szCs w:val="24"/>
        </w:rPr>
        <w:t>Усього для підприємства 1,564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lastRenderedPageBreak/>
        <w:t>Заходи щодо впровадження найкращих існуючих технолог</w:t>
      </w:r>
      <w:r>
        <w:rPr>
          <w:rFonts w:ascii="Arial" w:eastAsia="Times New Roman" w:hAnsi="Arial" w:cs="Arial"/>
          <w:noProof/>
          <w:sz w:val="24"/>
          <w:szCs w:val="24"/>
        </w:rPr>
        <w:t xml:space="preserve">ій виробництва для 3 групи – не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надаються.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Перелік заходів щодо скорочення викидів забруднюючих речовин. Заходи щодо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скорочення викидів забруднюючих речовин – не передбачені.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Дотримання виконання природоохоронних заходів щодо скорочення викидів.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Перевищення гранично допустимих концентрацій забр</w:t>
      </w:r>
      <w:r>
        <w:rPr>
          <w:rFonts w:ascii="Arial" w:eastAsia="Times New Roman" w:hAnsi="Arial" w:cs="Arial"/>
          <w:noProof/>
          <w:sz w:val="24"/>
          <w:szCs w:val="24"/>
        </w:rPr>
        <w:t xml:space="preserve">уднюючих речовин по результатам </w:t>
      </w:r>
      <w:r w:rsidRPr="00C410BF">
        <w:rPr>
          <w:rFonts w:ascii="Arial" w:eastAsia="Times New Roman" w:hAnsi="Arial" w:cs="Arial"/>
          <w:noProof/>
          <w:sz w:val="24"/>
          <w:szCs w:val="24"/>
        </w:rPr>
        <w:t>розрахунку розсіювання в атмосфері та по фактичним в</w:t>
      </w:r>
      <w:r>
        <w:rPr>
          <w:rFonts w:ascii="Arial" w:eastAsia="Times New Roman" w:hAnsi="Arial" w:cs="Arial"/>
          <w:noProof/>
          <w:sz w:val="24"/>
          <w:szCs w:val="24"/>
        </w:rPr>
        <w:t xml:space="preserve">имірюванням на межі нормативної </w:t>
      </w:r>
      <w:r w:rsidRPr="00C410BF">
        <w:rPr>
          <w:rFonts w:ascii="Arial" w:eastAsia="Times New Roman" w:hAnsi="Arial" w:cs="Arial"/>
          <w:noProof/>
          <w:sz w:val="24"/>
          <w:szCs w:val="24"/>
        </w:rPr>
        <w:t>СЗЗ та житлової забудови не виявлено. Тому заходи</w:t>
      </w:r>
      <w:r>
        <w:rPr>
          <w:rFonts w:ascii="Arial" w:eastAsia="Times New Roman" w:hAnsi="Arial" w:cs="Arial"/>
          <w:noProof/>
          <w:sz w:val="24"/>
          <w:szCs w:val="24"/>
        </w:rPr>
        <w:t xml:space="preserve"> щодо скорочення викидів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забруднюючих речовин не передбачені.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Відповідність пропозицій щодо дозволених обсягів викидів законодавству.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Пропозиції щодо дозволених обсягів забруднюючих речовин, які віднесені до основних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джерел викидів, відсутні (основні джерела відсутні); про</w:t>
      </w:r>
      <w:r>
        <w:rPr>
          <w:rFonts w:ascii="Arial" w:eastAsia="Times New Roman" w:hAnsi="Arial" w:cs="Arial"/>
          <w:noProof/>
          <w:sz w:val="24"/>
          <w:szCs w:val="24"/>
        </w:rPr>
        <w:t xml:space="preserve">позиції щодо дозволених обсягів </w:t>
      </w:r>
      <w:r w:rsidRPr="00C410BF">
        <w:rPr>
          <w:rFonts w:ascii="Arial" w:eastAsia="Times New Roman" w:hAnsi="Arial" w:cs="Arial"/>
          <w:noProof/>
          <w:sz w:val="24"/>
          <w:szCs w:val="24"/>
        </w:rPr>
        <w:t xml:space="preserve">забруднюючих речовин, які віднесені до інших джерел </w:t>
      </w:r>
      <w:r>
        <w:rPr>
          <w:rFonts w:ascii="Arial" w:eastAsia="Times New Roman" w:hAnsi="Arial" w:cs="Arial"/>
          <w:noProof/>
          <w:sz w:val="24"/>
          <w:szCs w:val="24"/>
        </w:rPr>
        <w:t xml:space="preserve">викидів, надані в документах до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дозволу і відповідають чинному законодавству. Для</w:t>
      </w:r>
      <w:r>
        <w:rPr>
          <w:rFonts w:ascii="Arial" w:eastAsia="Times New Roman" w:hAnsi="Arial" w:cs="Arial"/>
          <w:noProof/>
          <w:sz w:val="24"/>
          <w:szCs w:val="24"/>
        </w:rPr>
        <w:t xml:space="preserve"> неорганізованих джерел викидів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нормативи ГДВ не встановлюються, регулювання здійснюється за вимогами дозволу.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Підприємство ТОВ «ОККО-ДРАЙВ» зоб</w:t>
      </w:r>
      <w:r>
        <w:rPr>
          <w:rFonts w:ascii="Arial" w:eastAsia="Times New Roman" w:hAnsi="Arial" w:cs="Arial"/>
          <w:noProof/>
          <w:sz w:val="24"/>
          <w:szCs w:val="24"/>
        </w:rPr>
        <w:t xml:space="preserve">ов’язується дотримуватись вимог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природоохоронного законодавства України.</w:t>
      </w:r>
    </w:p>
    <w:p w:rsidR="007C29AB" w:rsidRPr="00C410BF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410BF">
        <w:rPr>
          <w:rFonts w:ascii="Arial" w:eastAsia="Times New Roman" w:hAnsi="Arial" w:cs="Arial"/>
          <w:noProof/>
          <w:sz w:val="24"/>
          <w:szCs w:val="24"/>
        </w:rPr>
        <w:t>Зауваження та пропозиції надавати до Львівської об</w:t>
      </w:r>
      <w:r>
        <w:rPr>
          <w:rFonts w:ascii="Arial" w:eastAsia="Times New Roman" w:hAnsi="Arial" w:cs="Arial"/>
          <w:noProof/>
          <w:sz w:val="24"/>
          <w:szCs w:val="24"/>
        </w:rPr>
        <w:t xml:space="preserve">ласної військової адміністрації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за адресою: 79008, м.Львів, вул. Винниченка, 18 протягом одного місяця від дня</w:t>
      </w:r>
    </w:p>
    <w:p w:rsidR="007C29AB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опублікування.  </w:t>
      </w:r>
      <w:r w:rsidRPr="00C410BF">
        <w:rPr>
          <w:rFonts w:ascii="Arial" w:eastAsia="Times New Roman" w:hAnsi="Arial" w:cs="Arial"/>
          <w:noProof/>
          <w:sz w:val="24"/>
          <w:szCs w:val="24"/>
        </w:rPr>
        <w:t>Строки подання зауважень та пропозицій: прот</w:t>
      </w:r>
      <w:r>
        <w:rPr>
          <w:rFonts w:ascii="Arial" w:eastAsia="Times New Roman" w:hAnsi="Arial" w:cs="Arial"/>
          <w:noProof/>
          <w:sz w:val="24"/>
          <w:szCs w:val="24"/>
        </w:rPr>
        <w:t xml:space="preserve">ягом 30 календарних днів з дати </w:t>
      </w:r>
      <w:r w:rsidRPr="00C410BF">
        <w:rPr>
          <w:rFonts w:ascii="Arial" w:eastAsia="Times New Roman" w:hAnsi="Arial" w:cs="Arial"/>
          <w:noProof/>
          <w:sz w:val="24"/>
          <w:szCs w:val="24"/>
        </w:rPr>
        <w:t>публікації в друкованих ЗМІ.</w:t>
      </w:r>
    </w:p>
    <w:p w:rsidR="007C29AB" w:rsidRDefault="007C29AB" w:rsidP="007C29A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uk-UA"/>
        </w:rPr>
      </w:pPr>
    </w:p>
    <w:p w:rsidR="00EC0B9D" w:rsidRDefault="00EC0B9D">
      <w:bookmarkStart w:id="0" w:name="_GoBack"/>
      <w:bookmarkEnd w:id="0"/>
    </w:p>
    <w:sectPr w:rsidR="00EC0B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BF"/>
    <w:rsid w:val="000A25BF"/>
    <w:rsid w:val="007C29AB"/>
    <w:rsid w:val="00EC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F2DA0-3836-435D-BEA7-BC4FDB32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9A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3296</Words>
  <Characters>1880</Characters>
  <Application>Microsoft Office Word</Application>
  <DocSecurity>0</DocSecurity>
  <Lines>15</Lines>
  <Paragraphs>10</Paragraphs>
  <ScaleCrop>false</ScaleCrop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2023-12-12T12:47:00Z</dcterms:created>
  <dcterms:modified xsi:type="dcterms:W3CDTF">2023-12-12T12:47:00Z</dcterms:modified>
</cp:coreProperties>
</file>