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B3DC9" w14:textId="77777777" w:rsidR="007C72B5" w:rsidRPr="005E087C" w:rsidRDefault="007C72B5" w:rsidP="007C72B5">
      <w:pPr>
        <w:autoSpaceDE w:val="0"/>
        <w:autoSpaceDN w:val="0"/>
        <w:adjustRightInd w:val="0"/>
        <w:spacing w:after="0" w:line="240" w:lineRule="auto"/>
        <w:ind w:left="284" w:right="23"/>
        <w:jc w:val="center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 w:rsidRPr="005E087C">
        <w:rPr>
          <w:rFonts w:ascii="Times New Roman" w:hAnsi="Times New Roman"/>
          <w:b/>
          <w:kern w:val="1"/>
          <w:sz w:val="24"/>
          <w:szCs w:val="24"/>
          <w:lang w:eastAsia="ar-SA"/>
        </w:rPr>
        <w:t>«Послуги із забезпечення доступу та обслуговування локальної мережі»</w:t>
      </w:r>
    </w:p>
    <w:p w14:paraId="5A1E0802" w14:textId="77777777" w:rsidR="00B67810" w:rsidRPr="005E087C" w:rsidRDefault="007C72B5" w:rsidP="007C72B5">
      <w:pPr>
        <w:jc w:val="center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 w:rsidRPr="005E087C">
        <w:rPr>
          <w:rFonts w:ascii="Times New Roman" w:hAnsi="Times New Roman"/>
          <w:b/>
          <w:kern w:val="1"/>
          <w:sz w:val="24"/>
          <w:szCs w:val="24"/>
          <w:lang w:eastAsia="ar-SA"/>
        </w:rPr>
        <w:t>(ДК 021:2015: 50330000-7 Послуги з технічного обслуговування телекомунікаційного обладнання)</w:t>
      </w:r>
    </w:p>
    <w:p w14:paraId="4D261336" w14:textId="77777777" w:rsidR="007C72B5" w:rsidRPr="005E087C" w:rsidRDefault="007C72B5" w:rsidP="005E087C">
      <w:pPr>
        <w:pStyle w:val="a4"/>
        <w:ind w:firstLine="284"/>
        <w:jc w:val="both"/>
      </w:pPr>
      <w:r w:rsidRPr="005E087C">
        <w:t>На виконання постанови КМУ від 11 жовтня 2016 р. №</w:t>
      </w:r>
      <w:r w:rsidRPr="005E087C">
        <w:rPr>
          <w:i/>
        </w:rPr>
        <w:t xml:space="preserve"> </w:t>
      </w:r>
      <w:r w:rsidRPr="005E087C">
        <w:t xml:space="preserve">710 ‹Про ефективне використання державних коштів» </w:t>
      </w:r>
      <w:r w:rsidRPr="005E087C">
        <w:rPr>
          <w:color w:val="212121"/>
        </w:rPr>
        <w:t xml:space="preserve">у </w:t>
      </w:r>
      <w:r w:rsidRPr="005E087C">
        <w:t xml:space="preserve">зв’язку із необхідністю проведення закупівлі «Послуги із забезпечення доступу та обслуговування локальної мережі» (ДК 021:2015: </w:t>
      </w:r>
      <w:r w:rsidRPr="005E087C">
        <w:rPr>
          <w:color w:val="111111"/>
        </w:rPr>
        <w:t>5</w:t>
      </w:r>
      <w:r w:rsidRPr="005E087C">
        <w:t>0330000-7 Послуги з технічного обслуговування телекомунікаційного обладнання) для потреб Департаменту фінансової політики Львівської міської ради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14:paraId="48BBDA54" w14:textId="77777777" w:rsidR="007C72B5" w:rsidRPr="005E087C" w:rsidRDefault="007C72B5" w:rsidP="008E0B86">
      <w:pPr>
        <w:pStyle w:val="1"/>
        <w:spacing w:before="0" w:line="240" w:lineRule="auto"/>
        <w:ind w:left="0" w:firstLine="284"/>
        <w:jc w:val="both"/>
        <w:rPr>
          <w:i w:val="0"/>
        </w:rPr>
      </w:pPr>
      <w:r w:rsidRPr="005E087C">
        <w:rPr>
          <w:i w:val="0"/>
        </w:rPr>
        <w:t>1.</w:t>
      </w:r>
      <w:r w:rsidRPr="005E087C">
        <w:rPr>
          <w:b w:val="0"/>
          <w:i w:val="0"/>
        </w:rPr>
        <w:t xml:space="preserve"> </w:t>
      </w:r>
      <w:r w:rsidR="00E55755" w:rsidRPr="005E087C">
        <w:rPr>
          <w:b w:val="0"/>
          <w:i w:val="0"/>
        </w:rPr>
        <w:t xml:space="preserve">  </w:t>
      </w:r>
      <w:proofErr w:type="spellStart"/>
      <w:r w:rsidRPr="005E087C">
        <w:rPr>
          <w:i w:val="0"/>
        </w:rPr>
        <w:t>Hазва</w:t>
      </w:r>
      <w:proofErr w:type="spellEnd"/>
      <w:r w:rsidRPr="005E087C">
        <w:rPr>
          <w:i w:val="0"/>
        </w:rPr>
        <w:t xml:space="preserve"> </w:t>
      </w:r>
      <w:proofErr w:type="spellStart"/>
      <w:r w:rsidRPr="005E087C">
        <w:rPr>
          <w:i w:val="0"/>
        </w:rPr>
        <w:t>пpeдмета</w:t>
      </w:r>
      <w:proofErr w:type="spellEnd"/>
      <w:r w:rsidRPr="005E087C">
        <w:rPr>
          <w:i w:val="0"/>
        </w:rPr>
        <w:t xml:space="preserve"> закупівлі із зазначенням коду за Єдиним закупівельним</w:t>
      </w:r>
      <w:r w:rsidRPr="005E087C">
        <w:rPr>
          <w:b w:val="0"/>
          <w:i w:val="0"/>
        </w:rPr>
        <w:t xml:space="preserve"> </w:t>
      </w:r>
      <w:r w:rsidRPr="005E087C">
        <w:rPr>
          <w:i w:val="0"/>
        </w:rPr>
        <w:t>словником:</w:t>
      </w:r>
    </w:p>
    <w:p w14:paraId="69B3AEF1" w14:textId="77777777" w:rsidR="007C72B5" w:rsidRPr="005E087C" w:rsidRDefault="007C72B5" w:rsidP="008E0B86">
      <w:pPr>
        <w:pStyle w:val="a4"/>
        <w:ind w:firstLine="284"/>
        <w:jc w:val="both"/>
      </w:pPr>
      <w:r w:rsidRPr="005E087C">
        <w:t xml:space="preserve">«Послуги із забезпечення доступу та обслуговування локальної мережі» (ДК </w:t>
      </w:r>
      <w:r w:rsidRPr="005E087C">
        <w:rPr>
          <w:kern w:val="1"/>
          <w:lang w:eastAsia="ar-SA"/>
        </w:rPr>
        <w:t>021:2015: 50330000-7</w:t>
      </w:r>
      <w:r w:rsidRPr="005E087C">
        <w:t xml:space="preserve"> Послуги з технічного обслуговування телекомунікаційного обладнання)</w:t>
      </w:r>
    </w:p>
    <w:p w14:paraId="2D4B3901" w14:textId="77777777" w:rsidR="007C72B5" w:rsidRPr="005E087C" w:rsidRDefault="002B3994" w:rsidP="008E0B86">
      <w:pPr>
        <w:pStyle w:val="1"/>
        <w:numPr>
          <w:ilvl w:val="0"/>
          <w:numId w:val="1"/>
        </w:numPr>
        <w:tabs>
          <w:tab w:val="left" w:pos="343"/>
        </w:tabs>
        <w:spacing w:before="0" w:line="240" w:lineRule="auto"/>
        <w:ind w:left="0" w:firstLine="284"/>
        <w:jc w:val="both"/>
      </w:pPr>
      <w:proofErr w:type="spellStart"/>
      <w:r w:rsidRPr="005E087C">
        <w:rPr>
          <w:i w:val="0"/>
        </w:rPr>
        <w:t>Обґрунтуваня</w:t>
      </w:r>
      <w:proofErr w:type="spellEnd"/>
      <w:r w:rsidR="007C72B5" w:rsidRPr="005E087C">
        <w:rPr>
          <w:i w:val="0"/>
        </w:rPr>
        <w:t xml:space="preserve"> технічних</w:t>
      </w:r>
      <w:r w:rsidR="007C72B5" w:rsidRPr="005E087C">
        <w:t xml:space="preserve"> </w:t>
      </w:r>
      <w:r w:rsidR="007C72B5" w:rsidRPr="005E087C">
        <w:rPr>
          <w:i w:val="0"/>
        </w:rPr>
        <w:t>та якіс</w:t>
      </w:r>
      <w:r w:rsidRPr="005E087C">
        <w:rPr>
          <w:i w:val="0"/>
        </w:rPr>
        <w:t>н</w:t>
      </w:r>
      <w:r w:rsidR="007C72B5" w:rsidRPr="005E087C">
        <w:rPr>
          <w:i w:val="0"/>
        </w:rPr>
        <w:t>их</w:t>
      </w:r>
      <w:r w:rsidR="007C72B5" w:rsidRPr="005E087C">
        <w:t xml:space="preserve"> </w:t>
      </w:r>
      <w:r w:rsidRPr="005E087C">
        <w:rPr>
          <w:i w:val="0"/>
        </w:rPr>
        <w:t>характеристик предмета закупівлі</w:t>
      </w:r>
      <w:r w:rsidR="007C72B5" w:rsidRPr="005E087C">
        <w:t>:</w:t>
      </w:r>
    </w:p>
    <w:p w14:paraId="39D6B2F5" w14:textId="77777777" w:rsidR="00E55755" w:rsidRPr="005E087C" w:rsidRDefault="007C72B5" w:rsidP="005E087C">
      <w:pPr>
        <w:pStyle w:val="a4"/>
        <w:ind w:firstLine="284"/>
        <w:jc w:val="both"/>
      </w:pPr>
      <w:r w:rsidRPr="005E087C">
        <w:t xml:space="preserve">Підтримка працездатності комп’ютерної локальної мережі замовника в безперервному режимі </w:t>
      </w:r>
      <w:r w:rsidRPr="005E087C">
        <w:rPr>
          <w:color w:val="111111"/>
        </w:rPr>
        <w:t xml:space="preserve">— </w:t>
      </w:r>
      <w:r w:rsidRPr="005E087C">
        <w:t>24/7. Налаштування окремої віртуальної локальної мережі (VLAN) для підключення незалежного з’</w:t>
      </w:r>
      <w:r w:rsidR="00E55755" w:rsidRPr="005E087C">
        <w:t>є</w:t>
      </w:r>
      <w:r w:rsidRPr="005E087C">
        <w:t xml:space="preserve">днання, що буде відстежуватися </w:t>
      </w:r>
      <w:r w:rsidRPr="005E087C">
        <w:rPr>
          <w:color w:val="0C0C0C"/>
        </w:rPr>
        <w:t xml:space="preserve">i </w:t>
      </w:r>
      <w:r w:rsidRPr="005E087C">
        <w:t>контролюватися системою моніторингу згідно вимог та звернень замовника</w:t>
      </w:r>
      <w:r w:rsidR="00E55755" w:rsidRPr="005E087C">
        <w:t>.</w:t>
      </w:r>
    </w:p>
    <w:p w14:paraId="7C9C2170" w14:textId="77777777" w:rsidR="007C72B5" w:rsidRPr="005E087C" w:rsidRDefault="007C72B5" w:rsidP="005E087C">
      <w:pPr>
        <w:pStyle w:val="a4"/>
        <w:ind w:firstLine="284"/>
        <w:jc w:val="both"/>
      </w:pPr>
      <w:r w:rsidRPr="005E087C">
        <w:t>Здійснення постійного та безперервного моніторингу працездатності м</w:t>
      </w:r>
      <w:r w:rsidR="00E55755" w:rsidRPr="005E087C">
        <w:t>ережного</w:t>
      </w:r>
      <w:r w:rsidRPr="005E087C">
        <w:t xml:space="preserve"> обладнання в </w:t>
      </w:r>
      <w:proofErr w:type="spellStart"/>
      <w:r w:rsidRPr="005E087C">
        <w:t>систем</w:t>
      </w:r>
      <w:r w:rsidRPr="005E087C">
        <w:rPr>
          <w:color w:val="151515"/>
        </w:rPr>
        <w:t>i</w:t>
      </w:r>
      <w:proofErr w:type="spellEnd"/>
      <w:r w:rsidRPr="005E087C">
        <w:rPr>
          <w:color w:val="151515"/>
        </w:rPr>
        <w:t xml:space="preserve"> </w:t>
      </w:r>
      <w:r w:rsidRPr="005E087C">
        <w:t xml:space="preserve">моніторингу служб </w:t>
      </w:r>
      <w:r w:rsidRPr="005E087C">
        <w:rPr>
          <w:color w:val="181818"/>
        </w:rPr>
        <w:t xml:space="preserve">i </w:t>
      </w:r>
      <w:r w:rsidRPr="005E087C">
        <w:t>станів комп’ютерної мережі.</w:t>
      </w:r>
    </w:p>
    <w:p w14:paraId="0CBBCDFC" w14:textId="77777777" w:rsidR="007C72B5" w:rsidRPr="005E087C" w:rsidRDefault="007C72B5" w:rsidP="005E087C">
      <w:pPr>
        <w:pStyle w:val="a4"/>
        <w:ind w:firstLine="284"/>
        <w:jc w:val="both"/>
      </w:pPr>
      <w:r w:rsidRPr="005E087C">
        <w:t>Забезпечення оптичного каналу зв</w:t>
      </w:r>
      <w:r w:rsidRPr="005E087C">
        <w:rPr>
          <w:color w:val="424242"/>
        </w:rPr>
        <w:t>’</w:t>
      </w:r>
      <w:r w:rsidRPr="005E087C">
        <w:t>язку від себе, для можливості налаштування та моніторингу доступу та обслуговування локальних мереж.</w:t>
      </w:r>
    </w:p>
    <w:p w14:paraId="1BD9FF9C" w14:textId="77777777" w:rsidR="00E55755" w:rsidRPr="005E087C" w:rsidRDefault="00C533FC" w:rsidP="005E087C">
      <w:pPr>
        <w:pStyle w:val="a6"/>
        <w:spacing w:line="240" w:lineRule="auto"/>
        <w:ind w:left="0" w:firstLine="284"/>
        <w:jc w:val="both"/>
        <w:rPr>
          <w:bCs/>
        </w:rPr>
      </w:pPr>
      <w:r w:rsidRPr="005E087C">
        <w:rPr>
          <w:bCs/>
        </w:rPr>
        <w:t>Для з</w:t>
      </w:r>
      <w:r w:rsidR="00E55755" w:rsidRPr="005E087C">
        <w:rPr>
          <w:bCs/>
        </w:rPr>
        <w:t xml:space="preserve">абезпечення надійної та безперебійної роботи локальної мережі, </w:t>
      </w:r>
      <w:r w:rsidRPr="005E087C">
        <w:rPr>
          <w:bCs/>
        </w:rPr>
        <w:t>необхідна наявність</w:t>
      </w:r>
      <w:r w:rsidR="00E55755" w:rsidRPr="005E087C">
        <w:rPr>
          <w:bCs/>
        </w:rPr>
        <w:t xml:space="preserve">  керован</w:t>
      </w:r>
      <w:r w:rsidRPr="005E087C">
        <w:rPr>
          <w:bCs/>
        </w:rPr>
        <w:t>их</w:t>
      </w:r>
      <w:r w:rsidR="00E55755" w:rsidRPr="005E087C">
        <w:rPr>
          <w:bCs/>
        </w:rPr>
        <w:t xml:space="preserve"> комутатор</w:t>
      </w:r>
      <w:r w:rsidRPr="005E087C">
        <w:rPr>
          <w:bCs/>
        </w:rPr>
        <w:t>ів</w:t>
      </w:r>
      <w:r w:rsidR="00E55755" w:rsidRPr="005E087C">
        <w:rPr>
          <w:bCs/>
        </w:rPr>
        <w:t xml:space="preserve"> 2 рівня, моделі яких мають позитивний висновок Державної служби спеціального зв’язку та захисту інформації України в сфері технічного захисту інформації та відповідають таким вимогам або є кращими:</w:t>
      </w:r>
    </w:p>
    <w:p w14:paraId="152FCCF4" w14:textId="77777777" w:rsidR="00E55755" w:rsidRPr="005E087C" w:rsidRDefault="00E55755" w:rsidP="008E0B86">
      <w:pPr>
        <w:pStyle w:val="a6"/>
        <w:widowControl/>
        <w:numPr>
          <w:ilvl w:val="0"/>
          <w:numId w:val="2"/>
        </w:numPr>
        <w:autoSpaceDE/>
        <w:autoSpaceDN/>
        <w:spacing w:line="240" w:lineRule="auto"/>
        <w:ind w:left="0" w:right="91" w:firstLine="284"/>
        <w:contextualSpacing/>
        <w:jc w:val="both"/>
        <w:rPr>
          <w:bCs/>
        </w:rPr>
      </w:pPr>
      <w:proofErr w:type="spellStart"/>
      <w:r w:rsidRPr="005E087C">
        <w:rPr>
          <w:lang w:val="ru-RU"/>
        </w:rPr>
        <w:t>Фіксована</w:t>
      </w:r>
      <w:proofErr w:type="spellEnd"/>
      <w:r w:rsidRPr="005E087C">
        <w:rPr>
          <w:lang w:val="ru-RU"/>
        </w:rPr>
        <w:t xml:space="preserve"> 1</w:t>
      </w:r>
      <w:r w:rsidRPr="005E087C">
        <w:t>U</w:t>
      </w:r>
      <w:r w:rsidRPr="005E087C">
        <w:rPr>
          <w:lang w:val="ru-RU"/>
        </w:rPr>
        <w:t xml:space="preserve"> – для </w:t>
      </w:r>
      <w:proofErr w:type="spellStart"/>
      <w:r w:rsidRPr="005E087C">
        <w:rPr>
          <w:lang w:val="ru-RU"/>
        </w:rPr>
        <w:t>встановлення</w:t>
      </w:r>
      <w:proofErr w:type="spellEnd"/>
      <w:r w:rsidRPr="005E087C">
        <w:rPr>
          <w:lang w:val="ru-RU"/>
        </w:rPr>
        <w:t xml:space="preserve"> в 19” </w:t>
      </w:r>
      <w:proofErr w:type="spellStart"/>
      <w:r w:rsidRPr="005E087C">
        <w:rPr>
          <w:lang w:val="ru-RU"/>
        </w:rPr>
        <w:t>шафу</w:t>
      </w:r>
      <w:proofErr w:type="spellEnd"/>
    </w:p>
    <w:p w14:paraId="65D678D7" w14:textId="77777777" w:rsidR="00E55755" w:rsidRPr="005E087C" w:rsidRDefault="00E55755" w:rsidP="008E0B86">
      <w:pPr>
        <w:pStyle w:val="a6"/>
        <w:widowControl/>
        <w:numPr>
          <w:ilvl w:val="0"/>
          <w:numId w:val="2"/>
        </w:numPr>
        <w:autoSpaceDE/>
        <w:autoSpaceDN/>
        <w:spacing w:line="240" w:lineRule="auto"/>
        <w:ind w:left="0" w:right="91" w:firstLine="284"/>
        <w:contextualSpacing/>
        <w:jc w:val="both"/>
        <w:rPr>
          <w:bCs/>
        </w:rPr>
      </w:pPr>
      <w:r w:rsidRPr="005E087C">
        <w:rPr>
          <w:lang w:val="ru-RU"/>
        </w:rPr>
        <w:t xml:space="preserve">Не </w:t>
      </w:r>
      <w:proofErr w:type="spellStart"/>
      <w:r w:rsidRPr="005E087C">
        <w:rPr>
          <w:lang w:val="ru-RU"/>
        </w:rPr>
        <w:t>менше</w:t>
      </w:r>
      <w:proofErr w:type="spellEnd"/>
      <w:r w:rsidRPr="005E087C">
        <w:rPr>
          <w:lang w:val="ru-RU"/>
        </w:rPr>
        <w:t xml:space="preserve"> 24 </w:t>
      </w:r>
      <w:proofErr w:type="spellStart"/>
      <w:r w:rsidRPr="005E087C">
        <w:rPr>
          <w:lang w:val="ru-RU"/>
        </w:rPr>
        <w:t>портів</w:t>
      </w:r>
      <w:proofErr w:type="spellEnd"/>
      <w:r w:rsidRPr="005E087C">
        <w:rPr>
          <w:lang w:val="ru-RU"/>
        </w:rPr>
        <w:t xml:space="preserve">, не </w:t>
      </w:r>
      <w:proofErr w:type="spellStart"/>
      <w:r w:rsidRPr="005E087C">
        <w:rPr>
          <w:lang w:val="ru-RU"/>
        </w:rPr>
        <w:t>гірше</w:t>
      </w:r>
      <w:proofErr w:type="spellEnd"/>
      <w:r w:rsidRPr="005E087C">
        <w:rPr>
          <w:lang w:val="ru-RU"/>
        </w:rPr>
        <w:t xml:space="preserve"> </w:t>
      </w:r>
      <w:proofErr w:type="spellStart"/>
      <w:r w:rsidRPr="005E087C">
        <w:rPr>
          <w:lang w:val="ru-RU"/>
        </w:rPr>
        <w:t>ніж</w:t>
      </w:r>
      <w:proofErr w:type="spellEnd"/>
      <w:r w:rsidRPr="005E087C">
        <w:rPr>
          <w:rFonts w:eastAsia="Symbol"/>
          <w:lang w:val="ru-RU"/>
        </w:rPr>
        <w:t xml:space="preserve"> </w:t>
      </w:r>
      <w:r w:rsidRPr="005E087C">
        <w:rPr>
          <w:lang w:val="ru-RU"/>
        </w:rPr>
        <w:t>1000</w:t>
      </w:r>
      <w:proofErr w:type="spellStart"/>
      <w:r w:rsidRPr="005E087C">
        <w:t>BaseT</w:t>
      </w:r>
      <w:proofErr w:type="spellEnd"/>
    </w:p>
    <w:p w14:paraId="6FE6C5E4" w14:textId="77777777" w:rsidR="00E55755" w:rsidRPr="005E087C" w:rsidRDefault="00E55755" w:rsidP="008E0B86">
      <w:pPr>
        <w:pStyle w:val="a6"/>
        <w:widowControl/>
        <w:numPr>
          <w:ilvl w:val="0"/>
          <w:numId w:val="2"/>
        </w:numPr>
        <w:autoSpaceDE/>
        <w:autoSpaceDN/>
        <w:spacing w:line="240" w:lineRule="auto"/>
        <w:ind w:left="0" w:right="91" w:firstLine="284"/>
        <w:contextualSpacing/>
        <w:jc w:val="both"/>
        <w:rPr>
          <w:bCs/>
        </w:rPr>
      </w:pPr>
      <w:r w:rsidRPr="005E087C">
        <w:rPr>
          <w:lang w:val="ru-RU"/>
        </w:rPr>
        <w:t xml:space="preserve">Не </w:t>
      </w:r>
      <w:proofErr w:type="spellStart"/>
      <w:r w:rsidRPr="005E087C">
        <w:rPr>
          <w:lang w:val="ru-RU"/>
        </w:rPr>
        <w:t>менше</w:t>
      </w:r>
      <w:proofErr w:type="spellEnd"/>
      <w:r w:rsidRPr="005E087C">
        <w:rPr>
          <w:lang w:val="ru-RU"/>
        </w:rPr>
        <w:t xml:space="preserve"> 4 </w:t>
      </w:r>
      <w:proofErr w:type="spellStart"/>
      <w:r w:rsidRPr="005E087C">
        <w:rPr>
          <w:lang w:val="ru-RU"/>
        </w:rPr>
        <w:t>портів</w:t>
      </w:r>
      <w:proofErr w:type="spellEnd"/>
      <w:r w:rsidRPr="005E087C">
        <w:rPr>
          <w:lang w:val="ru-RU"/>
        </w:rPr>
        <w:t xml:space="preserve"> 1</w:t>
      </w:r>
      <w:proofErr w:type="spellStart"/>
      <w:r w:rsidRPr="005E087C">
        <w:t>Gb</w:t>
      </w:r>
      <w:proofErr w:type="spellEnd"/>
      <w:r w:rsidRPr="005E087C">
        <w:rPr>
          <w:lang w:val="ru-RU"/>
        </w:rPr>
        <w:t xml:space="preserve"> </w:t>
      </w:r>
      <w:r w:rsidRPr="005E087C">
        <w:t>SFP</w:t>
      </w:r>
    </w:p>
    <w:p w14:paraId="0342AA5A" w14:textId="77777777" w:rsidR="00E55755" w:rsidRPr="005E087C" w:rsidRDefault="00E55755" w:rsidP="008E0B86">
      <w:pPr>
        <w:pStyle w:val="a6"/>
        <w:widowControl/>
        <w:numPr>
          <w:ilvl w:val="0"/>
          <w:numId w:val="2"/>
        </w:numPr>
        <w:autoSpaceDE/>
        <w:autoSpaceDN/>
        <w:spacing w:line="240" w:lineRule="auto"/>
        <w:ind w:left="0" w:right="91" w:firstLine="284"/>
        <w:contextualSpacing/>
        <w:jc w:val="both"/>
        <w:rPr>
          <w:bCs/>
        </w:rPr>
      </w:pPr>
      <w:r w:rsidRPr="005E087C">
        <w:rPr>
          <w:bCs/>
        </w:rPr>
        <w:t xml:space="preserve">Пропускна ємність комутації не менше 41 </w:t>
      </w:r>
      <w:proofErr w:type="spellStart"/>
      <w:r w:rsidRPr="005E087C">
        <w:rPr>
          <w:bCs/>
        </w:rPr>
        <w:t>млн.пак</w:t>
      </w:r>
      <w:proofErr w:type="spellEnd"/>
      <w:r w:rsidRPr="005E087C">
        <w:rPr>
          <w:bCs/>
        </w:rPr>
        <w:t>./</w:t>
      </w:r>
      <w:proofErr w:type="spellStart"/>
      <w:r w:rsidRPr="005E087C">
        <w:rPr>
          <w:bCs/>
        </w:rPr>
        <w:t>сек</w:t>
      </w:r>
      <w:proofErr w:type="spellEnd"/>
    </w:p>
    <w:p w14:paraId="2F8DEF2D" w14:textId="77777777" w:rsidR="00E55755" w:rsidRPr="005E087C" w:rsidRDefault="00E55755" w:rsidP="008E0B86">
      <w:pPr>
        <w:pStyle w:val="a6"/>
        <w:widowControl/>
        <w:numPr>
          <w:ilvl w:val="0"/>
          <w:numId w:val="2"/>
        </w:numPr>
        <w:autoSpaceDE/>
        <w:autoSpaceDN/>
        <w:spacing w:line="240" w:lineRule="auto"/>
        <w:ind w:left="0" w:right="91" w:firstLine="284"/>
        <w:contextualSpacing/>
        <w:jc w:val="both"/>
        <w:rPr>
          <w:bCs/>
        </w:rPr>
      </w:pPr>
      <w:r w:rsidRPr="005E087C">
        <w:rPr>
          <w:bCs/>
        </w:rPr>
        <w:t>Загальна ємність комутації не менше 56Гб/с у режимі повного дуплекса</w:t>
      </w:r>
    </w:p>
    <w:p w14:paraId="731D58D4" w14:textId="77777777" w:rsidR="00E55755" w:rsidRPr="005E087C" w:rsidRDefault="00E55755" w:rsidP="008E0B86">
      <w:pPr>
        <w:pStyle w:val="a6"/>
        <w:widowControl/>
        <w:numPr>
          <w:ilvl w:val="0"/>
          <w:numId w:val="2"/>
        </w:numPr>
        <w:autoSpaceDE/>
        <w:autoSpaceDN/>
        <w:spacing w:line="240" w:lineRule="auto"/>
        <w:ind w:left="0" w:right="91" w:firstLine="284"/>
        <w:contextualSpacing/>
        <w:jc w:val="both"/>
        <w:rPr>
          <w:bCs/>
        </w:rPr>
      </w:pPr>
      <w:r w:rsidRPr="005E087C">
        <w:rPr>
          <w:bCs/>
        </w:rPr>
        <w:t>Розмір таблиці MAC</w:t>
      </w:r>
      <w:r w:rsidRPr="005E087C">
        <w:rPr>
          <w:bCs/>
          <w:lang w:val="ru-RU"/>
        </w:rPr>
        <w:t>-</w:t>
      </w:r>
      <w:r w:rsidRPr="005E087C">
        <w:rPr>
          <w:bCs/>
        </w:rPr>
        <w:t>адрес не менше 16000 записів</w:t>
      </w:r>
    </w:p>
    <w:p w14:paraId="47E5B8CC" w14:textId="77777777" w:rsidR="00E55755" w:rsidRPr="005E087C" w:rsidRDefault="00E55755" w:rsidP="008E0B86">
      <w:pPr>
        <w:pStyle w:val="a6"/>
        <w:widowControl/>
        <w:numPr>
          <w:ilvl w:val="0"/>
          <w:numId w:val="2"/>
        </w:numPr>
        <w:autoSpaceDE/>
        <w:autoSpaceDN/>
        <w:spacing w:line="240" w:lineRule="auto"/>
        <w:ind w:left="0" w:right="91" w:firstLine="284"/>
        <w:contextualSpacing/>
        <w:jc w:val="both"/>
        <w:rPr>
          <w:bCs/>
        </w:rPr>
      </w:pPr>
      <w:r w:rsidRPr="005E087C">
        <w:rPr>
          <w:bCs/>
        </w:rPr>
        <w:t xml:space="preserve">Підтримка </w:t>
      </w:r>
      <w:proofErr w:type="spellStart"/>
      <w:r w:rsidRPr="005E087C">
        <w:rPr>
          <w:bCs/>
        </w:rPr>
        <w:t>Jumbo</w:t>
      </w:r>
      <w:proofErr w:type="spellEnd"/>
      <w:r w:rsidRPr="005E087C">
        <w:rPr>
          <w:bCs/>
          <w:lang w:val="ru-RU"/>
        </w:rPr>
        <w:t>-</w:t>
      </w:r>
      <w:r w:rsidRPr="005E087C">
        <w:rPr>
          <w:bCs/>
        </w:rPr>
        <w:t>кадрів розміром не менше 9220 байт</w:t>
      </w:r>
    </w:p>
    <w:p w14:paraId="52EF46A5" w14:textId="77777777" w:rsidR="00E55755" w:rsidRPr="005E087C" w:rsidRDefault="00E55755" w:rsidP="008E0B86">
      <w:pPr>
        <w:pStyle w:val="a6"/>
        <w:widowControl/>
        <w:numPr>
          <w:ilvl w:val="0"/>
          <w:numId w:val="2"/>
        </w:numPr>
        <w:autoSpaceDE/>
        <w:autoSpaceDN/>
        <w:spacing w:line="240" w:lineRule="auto"/>
        <w:ind w:left="0" w:right="91" w:firstLine="284"/>
        <w:contextualSpacing/>
        <w:jc w:val="both"/>
        <w:rPr>
          <w:bCs/>
        </w:rPr>
      </w:pPr>
      <w:r w:rsidRPr="005E087C">
        <w:rPr>
          <w:bCs/>
        </w:rPr>
        <w:t xml:space="preserve">Функціональні вимоги </w:t>
      </w:r>
      <w:proofErr w:type="spellStart"/>
      <w:r w:rsidRPr="005E087C">
        <w:rPr>
          <w:bCs/>
        </w:rPr>
        <w:t>Dynamic</w:t>
      </w:r>
      <w:proofErr w:type="spellEnd"/>
      <w:r w:rsidRPr="005E087C">
        <w:rPr>
          <w:bCs/>
        </w:rPr>
        <w:t xml:space="preserve"> </w:t>
      </w:r>
      <w:proofErr w:type="spellStart"/>
      <w:r w:rsidRPr="005E087C">
        <w:rPr>
          <w:bCs/>
        </w:rPr>
        <w:t>Host</w:t>
      </w:r>
      <w:proofErr w:type="spellEnd"/>
      <w:r w:rsidRPr="005E087C">
        <w:rPr>
          <w:bCs/>
        </w:rPr>
        <w:t xml:space="preserve"> </w:t>
      </w:r>
      <w:proofErr w:type="spellStart"/>
      <w:r w:rsidRPr="005E087C">
        <w:rPr>
          <w:bCs/>
        </w:rPr>
        <w:t>Configuration</w:t>
      </w:r>
      <w:proofErr w:type="spellEnd"/>
      <w:r w:rsidRPr="005E087C">
        <w:rPr>
          <w:bCs/>
        </w:rPr>
        <w:t xml:space="preserve"> </w:t>
      </w:r>
      <w:proofErr w:type="spellStart"/>
      <w:r w:rsidRPr="005E087C">
        <w:rPr>
          <w:bCs/>
        </w:rPr>
        <w:t>Protocol</w:t>
      </w:r>
      <w:proofErr w:type="spellEnd"/>
      <w:r w:rsidRPr="005E087C">
        <w:rPr>
          <w:bCs/>
        </w:rPr>
        <w:t xml:space="preserve"> (DHCP)</w:t>
      </w:r>
    </w:p>
    <w:p w14:paraId="40760E4B" w14:textId="77777777" w:rsidR="00E55755" w:rsidRPr="005E087C" w:rsidRDefault="00E55755" w:rsidP="008E0B86">
      <w:pPr>
        <w:pStyle w:val="a6"/>
        <w:widowControl/>
        <w:numPr>
          <w:ilvl w:val="0"/>
          <w:numId w:val="2"/>
        </w:numPr>
        <w:autoSpaceDE/>
        <w:autoSpaceDN/>
        <w:spacing w:line="240" w:lineRule="auto"/>
        <w:ind w:left="0" w:right="91" w:firstLine="284"/>
        <w:contextualSpacing/>
        <w:jc w:val="both"/>
        <w:rPr>
          <w:bCs/>
        </w:rPr>
      </w:pPr>
      <w:proofErr w:type="spellStart"/>
      <w:r w:rsidRPr="005E087C">
        <w:rPr>
          <w:bCs/>
        </w:rPr>
        <w:t>Cумісність</w:t>
      </w:r>
      <w:proofErr w:type="spellEnd"/>
      <w:r w:rsidRPr="005E087C">
        <w:rPr>
          <w:bCs/>
        </w:rPr>
        <w:t xml:space="preserve"> з </w:t>
      </w:r>
      <w:proofErr w:type="spellStart"/>
      <w:r w:rsidRPr="005E087C">
        <w:rPr>
          <w:bCs/>
        </w:rPr>
        <w:t>Radius</w:t>
      </w:r>
      <w:proofErr w:type="spellEnd"/>
      <w:r w:rsidRPr="005E087C">
        <w:rPr>
          <w:bCs/>
        </w:rPr>
        <w:t xml:space="preserve"> Server та </w:t>
      </w:r>
      <w:proofErr w:type="spellStart"/>
      <w:r w:rsidRPr="005E087C">
        <w:rPr>
          <w:bCs/>
        </w:rPr>
        <w:t>Aruba</w:t>
      </w:r>
      <w:proofErr w:type="spellEnd"/>
      <w:r w:rsidRPr="005E087C">
        <w:rPr>
          <w:bCs/>
        </w:rPr>
        <w:t xml:space="preserve"> </w:t>
      </w:r>
      <w:proofErr w:type="spellStart"/>
      <w:r w:rsidRPr="005E087C">
        <w:rPr>
          <w:bCs/>
        </w:rPr>
        <w:t>Clear</w:t>
      </w:r>
      <w:proofErr w:type="spellEnd"/>
      <w:r w:rsidRPr="005E087C">
        <w:rPr>
          <w:bCs/>
        </w:rPr>
        <w:t xml:space="preserve"> </w:t>
      </w:r>
      <w:proofErr w:type="spellStart"/>
      <w:r w:rsidRPr="005E087C">
        <w:rPr>
          <w:bCs/>
        </w:rPr>
        <w:t>Pass</w:t>
      </w:r>
      <w:proofErr w:type="spellEnd"/>
      <w:r w:rsidRPr="005E087C">
        <w:rPr>
          <w:bCs/>
        </w:rPr>
        <w:t xml:space="preserve"> або еквівалентним сервісом</w:t>
      </w:r>
    </w:p>
    <w:p w14:paraId="0C0F31BC" w14:textId="77777777" w:rsidR="00E55755" w:rsidRPr="005E087C" w:rsidRDefault="00E55755" w:rsidP="008E0B86">
      <w:pPr>
        <w:pStyle w:val="a6"/>
        <w:widowControl/>
        <w:numPr>
          <w:ilvl w:val="0"/>
          <w:numId w:val="2"/>
        </w:numPr>
        <w:autoSpaceDE/>
        <w:autoSpaceDN/>
        <w:spacing w:line="240" w:lineRule="auto"/>
        <w:ind w:left="0" w:right="91" w:firstLine="284"/>
        <w:contextualSpacing/>
        <w:jc w:val="both"/>
        <w:rPr>
          <w:bCs/>
        </w:rPr>
      </w:pPr>
      <w:proofErr w:type="spellStart"/>
      <w:r w:rsidRPr="005E087C">
        <w:rPr>
          <w:bCs/>
        </w:rPr>
        <w:t>Internet</w:t>
      </w:r>
      <w:proofErr w:type="spellEnd"/>
      <w:r w:rsidRPr="005E087C">
        <w:rPr>
          <w:bCs/>
        </w:rPr>
        <w:t xml:space="preserve"> </w:t>
      </w:r>
      <w:proofErr w:type="spellStart"/>
      <w:r w:rsidRPr="005E087C">
        <w:rPr>
          <w:bCs/>
        </w:rPr>
        <w:t>Group</w:t>
      </w:r>
      <w:proofErr w:type="spellEnd"/>
      <w:r w:rsidRPr="005E087C">
        <w:rPr>
          <w:bCs/>
        </w:rPr>
        <w:t xml:space="preserve"> </w:t>
      </w:r>
      <w:proofErr w:type="spellStart"/>
      <w:r w:rsidRPr="005E087C">
        <w:rPr>
          <w:bCs/>
        </w:rPr>
        <w:t>Management</w:t>
      </w:r>
      <w:proofErr w:type="spellEnd"/>
      <w:r w:rsidRPr="005E087C">
        <w:rPr>
          <w:bCs/>
        </w:rPr>
        <w:t xml:space="preserve"> </w:t>
      </w:r>
      <w:proofErr w:type="spellStart"/>
      <w:r w:rsidRPr="005E087C">
        <w:rPr>
          <w:bCs/>
        </w:rPr>
        <w:t>Protocol</w:t>
      </w:r>
      <w:proofErr w:type="spellEnd"/>
      <w:r w:rsidRPr="005E087C">
        <w:rPr>
          <w:bCs/>
        </w:rPr>
        <w:t xml:space="preserve"> (IGMP) v2</w:t>
      </w:r>
    </w:p>
    <w:p w14:paraId="3DF3AEA5" w14:textId="77777777" w:rsidR="00E55755" w:rsidRPr="005E087C" w:rsidRDefault="00E55755" w:rsidP="008E0B86">
      <w:pPr>
        <w:pStyle w:val="a6"/>
        <w:widowControl/>
        <w:numPr>
          <w:ilvl w:val="0"/>
          <w:numId w:val="2"/>
        </w:numPr>
        <w:autoSpaceDE/>
        <w:autoSpaceDN/>
        <w:spacing w:line="240" w:lineRule="auto"/>
        <w:ind w:left="0" w:right="91" w:firstLine="284"/>
        <w:contextualSpacing/>
        <w:jc w:val="both"/>
        <w:rPr>
          <w:bCs/>
        </w:rPr>
      </w:pPr>
      <w:proofErr w:type="spellStart"/>
      <w:r w:rsidRPr="005E087C">
        <w:rPr>
          <w:bCs/>
        </w:rPr>
        <w:t>Voice</w:t>
      </w:r>
      <w:proofErr w:type="spellEnd"/>
      <w:r w:rsidRPr="005E087C">
        <w:rPr>
          <w:bCs/>
        </w:rPr>
        <w:t xml:space="preserve"> VLAN</w:t>
      </w:r>
    </w:p>
    <w:p w14:paraId="487FD65E" w14:textId="77777777" w:rsidR="00E55755" w:rsidRPr="005E087C" w:rsidRDefault="00E55755" w:rsidP="008E0B86">
      <w:pPr>
        <w:pStyle w:val="a6"/>
        <w:widowControl/>
        <w:numPr>
          <w:ilvl w:val="0"/>
          <w:numId w:val="2"/>
        </w:numPr>
        <w:autoSpaceDE/>
        <w:autoSpaceDN/>
        <w:spacing w:line="240" w:lineRule="auto"/>
        <w:ind w:left="0" w:right="91" w:firstLine="284"/>
        <w:contextualSpacing/>
        <w:jc w:val="both"/>
        <w:rPr>
          <w:bCs/>
        </w:rPr>
      </w:pPr>
      <w:proofErr w:type="spellStart"/>
      <w:r w:rsidRPr="005E087C">
        <w:rPr>
          <w:bCs/>
        </w:rPr>
        <w:t>Rapid</w:t>
      </w:r>
      <w:proofErr w:type="spellEnd"/>
      <w:r w:rsidRPr="005E087C">
        <w:rPr>
          <w:bCs/>
        </w:rPr>
        <w:t xml:space="preserve"> </w:t>
      </w:r>
      <w:proofErr w:type="spellStart"/>
      <w:r w:rsidRPr="005E087C">
        <w:rPr>
          <w:bCs/>
        </w:rPr>
        <w:t>Per</w:t>
      </w:r>
      <w:proofErr w:type="spellEnd"/>
      <w:r w:rsidRPr="005E087C">
        <w:rPr>
          <w:bCs/>
        </w:rPr>
        <w:t xml:space="preserve">-VLAN </w:t>
      </w:r>
      <w:proofErr w:type="spellStart"/>
      <w:r w:rsidRPr="005E087C">
        <w:rPr>
          <w:bCs/>
        </w:rPr>
        <w:t>Spanning</w:t>
      </w:r>
      <w:proofErr w:type="spellEnd"/>
      <w:r w:rsidRPr="005E087C">
        <w:rPr>
          <w:bCs/>
        </w:rPr>
        <w:t xml:space="preserve"> </w:t>
      </w:r>
      <w:proofErr w:type="spellStart"/>
      <w:r w:rsidRPr="005E087C">
        <w:rPr>
          <w:bCs/>
        </w:rPr>
        <w:t>Tree</w:t>
      </w:r>
      <w:proofErr w:type="spellEnd"/>
      <w:r w:rsidRPr="005E087C">
        <w:rPr>
          <w:bCs/>
        </w:rPr>
        <w:t xml:space="preserve"> (RPVST+)</w:t>
      </w:r>
    </w:p>
    <w:p w14:paraId="6B4FB999" w14:textId="77777777" w:rsidR="00E55755" w:rsidRPr="005E087C" w:rsidRDefault="00E55755" w:rsidP="008E0B86">
      <w:pPr>
        <w:pStyle w:val="a6"/>
        <w:widowControl/>
        <w:numPr>
          <w:ilvl w:val="0"/>
          <w:numId w:val="2"/>
        </w:numPr>
        <w:autoSpaceDE/>
        <w:autoSpaceDN/>
        <w:spacing w:line="240" w:lineRule="auto"/>
        <w:ind w:left="0" w:right="91" w:firstLine="284"/>
        <w:contextualSpacing/>
        <w:jc w:val="both"/>
        <w:rPr>
          <w:bCs/>
        </w:rPr>
      </w:pPr>
      <w:proofErr w:type="spellStart"/>
      <w:r w:rsidRPr="005E087C">
        <w:rPr>
          <w:bCs/>
        </w:rPr>
        <w:t>Network</w:t>
      </w:r>
      <w:proofErr w:type="spellEnd"/>
      <w:r w:rsidRPr="005E087C">
        <w:rPr>
          <w:bCs/>
        </w:rPr>
        <w:t xml:space="preserve"> </w:t>
      </w:r>
      <w:proofErr w:type="spellStart"/>
      <w:r w:rsidRPr="005E087C">
        <w:rPr>
          <w:bCs/>
        </w:rPr>
        <w:t>Timing</w:t>
      </w:r>
      <w:proofErr w:type="spellEnd"/>
      <w:r w:rsidRPr="005E087C">
        <w:rPr>
          <w:bCs/>
        </w:rPr>
        <w:t xml:space="preserve"> </w:t>
      </w:r>
      <w:proofErr w:type="spellStart"/>
      <w:r w:rsidRPr="005E087C">
        <w:rPr>
          <w:bCs/>
        </w:rPr>
        <w:t>Protocol</w:t>
      </w:r>
      <w:proofErr w:type="spellEnd"/>
      <w:r w:rsidRPr="005E087C">
        <w:rPr>
          <w:bCs/>
        </w:rPr>
        <w:t xml:space="preserve"> (NTP)</w:t>
      </w:r>
    </w:p>
    <w:p w14:paraId="6C902089" w14:textId="77777777" w:rsidR="00E55755" w:rsidRPr="005E087C" w:rsidRDefault="00E55755" w:rsidP="008E0B86">
      <w:pPr>
        <w:pStyle w:val="a6"/>
        <w:widowControl/>
        <w:numPr>
          <w:ilvl w:val="0"/>
          <w:numId w:val="2"/>
        </w:numPr>
        <w:autoSpaceDE/>
        <w:autoSpaceDN/>
        <w:spacing w:line="240" w:lineRule="auto"/>
        <w:ind w:left="0" w:right="91" w:firstLine="284"/>
        <w:contextualSpacing/>
        <w:jc w:val="both"/>
        <w:rPr>
          <w:bCs/>
        </w:rPr>
      </w:pPr>
      <w:r w:rsidRPr="005E087C">
        <w:rPr>
          <w:bCs/>
        </w:rPr>
        <w:t xml:space="preserve">порти з підтримкою </w:t>
      </w:r>
      <w:proofErr w:type="spellStart"/>
      <w:r w:rsidRPr="005E087C">
        <w:rPr>
          <w:bCs/>
        </w:rPr>
        <w:t>РоЕ</w:t>
      </w:r>
      <w:proofErr w:type="spellEnd"/>
    </w:p>
    <w:p w14:paraId="703D0EA5" w14:textId="77777777" w:rsidR="00E55755" w:rsidRPr="005E087C" w:rsidRDefault="00E55755" w:rsidP="008E0B86">
      <w:pPr>
        <w:pStyle w:val="a6"/>
        <w:widowControl/>
        <w:numPr>
          <w:ilvl w:val="0"/>
          <w:numId w:val="2"/>
        </w:numPr>
        <w:autoSpaceDE/>
        <w:autoSpaceDN/>
        <w:spacing w:line="240" w:lineRule="auto"/>
        <w:ind w:left="0" w:right="91" w:firstLine="284"/>
        <w:contextualSpacing/>
        <w:jc w:val="both"/>
        <w:rPr>
          <w:bCs/>
        </w:rPr>
      </w:pPr>
      <w:r w:rsidRPr="005E087C">
        <w:t xml:space="preserve">IEEE 802.3ad </w:t>
      </w:r>
      <w:proofErr w:type="spellStart"/>
      <w:r w:rsidRPr="005E087C">
        <w:t>Link</w:t>
      </w:r>
      <w:proofErr w:type="spellEnd"/>
      <w:r w:rsidRPr="005E087C">
        <w:t xml:space="preserve"> </w:t>
      </w:r>
      <w:proofErr w:type="spellStart"/>
      <w:r w:rsidRPr="005E087C">
        <w:t>Aggregation</w:t>
      </w:r>
      <w:proofErr w:type="spellEnd"/>
      <w:r w:rsidRPr="005E087C">
        <w:t xml:space="preserve"> </w:t>
      </w:r>
      <w:proofErr w:type="spellStart"/>
      <w:r w:rsidRPr="005E087C">
        <w:t>Control</w:t>
      </w:r>
      <w:proofErr w:type="spellEnd"/>
      <w:r w:rsidRPr="005E087C">
        <w:t xml:space="preserve"> </w:t>
      </w:r>
      <w:proofErr w:type="spellStart"/>
      <w:r w:rsidRPr="005E087C">
        <w:t>Protocol</w:t>
      </w:r>
      <w:proofErr w:type="spellEnd"/>
      <w:r w:rsidRPr="005E087C">
        <w:t xml:space="preserve"> (LACP)</w:t>
      </w:r>
    </w:p>
    <w:p w14:paraId="7167B8EA" w14:textId="77777777" w:rsidR="00E55755" w:rsidRPr="005E087C" w:rsidRDefault="00E55755" w:rsidP="008E0B86">
      <w:pPr>
        <w:pStyle w:val="a6"/>
        <w:widowControl/>
        <w:numPr>
          <w:ilvl w:val="0"/>
          <w:numId w:val="2"/>
        </w:numPr>
        <w:autoSpaceDE/>
        <w:autoSpaceDN/>
        <w:spacing w:line="240" w:lineRule="auto"/>
        <w:ind w:left="0" w:right="91" w:firstLine="284"/>
        <w:contextualSpacing/>
        <w:jc w:val="both"/>
        <w:rPr>
          <w:bCs/>
        </w:rPr>
      </w:pPr>
      <w:r w:rsidRPr="005E087C">
        <w:t>MAC-</w:t>
      </w:r>
      <w:proofErr w:type="spellStart"/>
      <w:r w:rsidRPr="005E087C">
        <w:t>based</w:t>
      </w:r>
      <w:proofErr w:type="spellEnd"/>
      <w:r w:rsidRPr="005E087C">
        <w:t xml:space="preserve"> VLAN </w:t>
      </w:r>
      <w:proofErr w:type="spellStart"/>
      <w:r w:rsidRPr="005E087C">
        <w:t>assignment</w:t>
      </w:r>
      <w:proofErr w:type="spellEnd"/>
    </w:p>
    <w:p w14:paraId="332DD548" w14:textId="77777777" w:rsidR="00E55755" w:rsidRPr="005E087C" w:rsidRDefault="00E55755" w:rsidP="008E0B86">
      <w:pPr>
        <w:pStyle w:val="a6"/>
        <w:widowControl/>
        <w:numPr>
          <w:ilvl w:val="0"/>
          <w:numId w:val="2"/>
        </w:numPr>
        <w:autoSpaceDE/>
        <w:autoSpaceDN/>
        <w:spacing w:line="240" w:lineRule="auto"/>
        <w:ind w:left="0" w:right="91" w:firstLine="284"/>
        <w:contextualSpacing/>
        <w:jc w:val="both"/>
        <w:rPr>
          <w:bCs/>
        </w:rPr>
      </w:pPr>
      <w:r w:rsidRPr="005E087C">
        <w:t xml:space="preserve">Access </w:t>
      </w:r>
      <w:proofErr w:type="spellStart"/>
      <w:r w:rsidRPr="005E087C">
        <w:t>Control</w:t>
      </w:r>
      <w:proofErr w:type="spellEnd"/>
      <w:r w:rsidRPr="005E087C">
        <w:t xml:space="preserve"> </w:t>
      </w:r>
      <w:proofErr w:type="spellStart"/>
      <w:r w:rsidRPr="005E087C">
        <w:t>Lists</w:t>
      </w:r>
      <w:proofErr w:type="spellEnd"/>
      <w:r w:rsidRPr="005E087C">
        <w:t xml:space="preserve"> (</w:t>
      </w:r>
      <w:proofErr w:type="spellStart"/>
      <w:r w:rsidRPr="005E087C">
        <w:t>ACLs</w:t>
      </w:r>
      <w:proofErr w:type="spellEnd"/>
      <w:r w:rsidRPr="005E087C">
        <w:t>) на основі VLAN та портів</w:t>
      </w:r>
    </w:p>
    <w:p w14:paraId="005BF0C5" w14:textId="77777777" w:rsidR="00E55755" w:rsidRPr="005E087C" w:rsidRDefault="00E55755" w:rsidP="008E0B86">
      <w:pPr>
        <w:pStyle w:val="a6"/>
        <w:widowControl/>
        <w:numPr>
          <w:ilvl w:val="0"/>
          <w:numId w:val="2"/>
        </w:numPr>
        <w:autoSpaceDE/>
        <w:autoSpaceDN/>
        <w:spacing w:line="240" w:lineRule="auto"/>
        <w:ind w:left="0" w:right="91" w:firstLine="284"/>
        <w:contextualSpacing/>
        <w:jc w:val="both"/>
        <w:rPr>
          <w:bCs/>
        </w:rPr>
      </w:pPr>
      <w:proofErr w:type="spellStart"/>
      <w:r w:rsidRPr="005E087C">
        <w:t>Spanning</w:t>
      </w:r>
      <w:proofErr w:type="spellEnd"/>
      <w:r w:rsidRPr="005E087C">
        <w:t xml:space="preserve"> </w:t>
      </w:r>
      <w:proofErr w:type="spellStart"/>
      <w:r w:rsidRPr="005E087C">
        <w:t>Tree</w:t>
      </w:r>
      <w:proofErr w:type="spellEnd"/>
      <w:r w:rsidRPr="005E087C">
        <w:t xml:space="preserve"> </w:t>
      </w:r>
      <w:proofErr w:type="spellStart"/>
      <w:r w:rsidRPr="005E087C">
        <w:t>Root</w:t>
      </w:r>
      <w:proofErr w:type="spellEnd"/>
      <w:r w:rsidRPr="005E087C">
        <w:t xml:space="preserve"> </w:t>
      </w:r>
      <w:proofErr w:type="spellStart"/>
      <w:r w:rsidRPr="005E087C">
        <w:t>Guard</w:t>
      </w:r>
      <w:proofErr w:type="spellEnd"/>
      <w:r w:rsidRPr="005E087C">
        <w:t xml:space="preserve"> (STRG)</w:t>
      </w:r>
    </w:p>
    <w:p w14:paraId="62305F3A" w14:textId="77777777" w:rsidR="00E55755" w:rsidRPr="005E087C" w:rsidRDefault="00E55755" w:rsidP="008E0B86">
      <w:pPr>
        <w:pStyle w:val="a6"/>
        <w:widowControl/>
        <w:numPr>
          <w:ilvl w:val="0"/>
          <w:numId w:val="2"/>
        </w:numPr>
        <w:autoSpaceDE/>
        <w:autoSpaceDN/>
        <w:spacing w:line="240" w:lineRule="auto"/>
        <w:ind w:left="0" w:right="91" w:firstLine="284"/>
        <w:contextualSpacing/>
        <w:jc w:val="both"/>
        <w:rPr>
          <w:bCs/>
        </w:rPr>
      </w:pPr>
      <w:proofErr w:type="spellStart"/>
      <w:r w:rsidRPr="005E087C">
        <w:t>Bridge</w:t>
      </w:r>
      <w:proofErr w:type="spellEnd"/>
      <w:r w:rsidRPr="005E087C">
        <w:t xml:space="preserve"> </w:t>
      </w:r>
      <w:proofErr w:type="spellStart"/>
      <w:r w:rsidRPr="005E087C">
        <w:t>protocol</w:t>
      </w:r>
      <w:proofErr w:type="spellEnd"/>
      <w:r w:rsidRPr="005E087C">
        <w:t xml:space="preserve"> </w:t>
      </w:r>
      <w:proofErr w:type="spellStart"/>
      <w:r w:rsidRPr="005E087C">
        <w:t>data</w:t>
      </w:r>
      <w:proofErr w:type="spellEnd"/>
      <w:r w:rsidRPr="005E087C">
        <w:t xml:space="preserve"> </w:t>
      </w:r>
      <w:proofErr w:type="spellStart"/>
      <w:r w:rsidRPr="005E087C">
        <w:t>unit</w:t>
      </w:r>
      <w:proofErr w:type="spellEnd"/>
      <w:r w:rsidRPr="005E087C">
        <w:t xml:space="preserve"> (BPDU) </w:t>
      </w:r>
      <w:proofErr w:type="spellStart"/>
      <w:r w:rsidRPr="005E087C">
        <w:t>Guard</w:t>
      </w:r>
      <w:proofErr w:type="spellEnd"/>
    </w:p>
    <w:p w14:paraId="74C20D9C" w14:textId="77777777" w:rsidR="00E55755" w:rsidRPr="005E087C" w:rsidRDefault="00E55755" w:rsidP="008E0B86">
      <w:pPr>
        <w:pStyle w:val="a6"/>
        <w:widowControl/>
        <w:numPr>
          <w:ilvl w:val="0"/>
          <w:numId w:val="2"/>
        </w:numPr>
        <w:autoSpaceDE/>
        <w:autoSpaceDN/>
        <w:spacing w:line="240" w:lineRule="auto"/>
        <w:ind w:left="0" w:right="91" w:firstLine="284"/>
        <w:contextualSpacing/>
        <w:jc w:val="both"/>
        <w:rPr>
          <w:bCs/>
        </w:rPr>
      </w:pPr>
      <w:proofErr w:type="spellStart"/>
      <w:r w:rsidRPr="005E087C">
        <w:t>Дзеркалювання</w:t>
      </w:r>
      <w:proofErr w:type="spellEnd"/>
      <w:r w:rsidRPr="005E087C">
        <w:t xml:space="preserve"> портів</w:t>
      </w:r>
    </w:p>
    <w:p w14:paraId="53910438" w14:textId="77777777" w:rsidR="007C72B5" w:rsidRPr="005E087C" w:rsidRDefault="007C72B5" w:rsidP="005E087C">
      <w:pPr>
        <w:pStyle w:val="a4"/>
        <w:ind w:firstLine="284"/>
        <w:jc w:val="both"/>
      </w:pPr>
      <w:r w:rsidRPr="005E087C">
        <w:t>Наявність підтримки користувачів (відділ, слу</w:t>
      </w:r>
      <w:r w:rsidR="00C533FC" w:rsidRPr="005E087C">
        <w:t>ж</w:t>
      </w:r>
      <w:r w:rsidRPr="005E087C">
        <w:t xml:space="preserve">ба, центр, тощо). Здійснення підтримки користувачів (замовника) у робочий час замовника як віддалено так i локально за </w:t>
      </w:r>
      <w:proofErr w:type="spellStart"/>
      <w:r w:rsidRPr="005E087C">
        <w:t>адресою</w:t>
      </w:r>
      <w:proofErr w:type="spellEnd"/>
      <w:r w:rsidRPr="005E087C">
        <w:t xml:space="preserve"> замовника/встановленого обладнання.</w:t>
      </w:r>
    </w:p>
    <w:p w14:paraId="7D5BBD92" w14:textId="77777777" w:rsidR="007C72B5" w:rsidRPr="005E087C" w:rsidRDefault="007C72B5" w:rsidP="005E087C">
      <w:pPr>
        <w:pStyle w:val="a4"/>
        <w:ind w:firstLine="284"/>
        <w:jc w:val="both"/>
      </w:pPr>
      <w:r w:rsidRPr="005E087C">
        <w:t>Служба підтримки виконавця щодо надання послуг з обслуговування локальної комп’ютерної мере</w:t>
      </w:r>
      <w:r w:rsidR="00E55755" w:rsidRPr="005E087C">
        <w:t>ж</w:t>
      </w:r>
      <w:r w:rsidRPr="005E087C">
        <w:t>і повинна забез</w:t>
      </w:r>
      <w:r w:rsidR="00C533FC" w:rsidRPr="005E087C">
        <w:t>п</w:t>
      </w:r>
      <w:r w:rsidRPr="005E087C">
        <w:t>ечувати наступне:</w:t>
      </w:r>
    </w:p>
    <w:p w14:paraId="43847317" w14:textId="77777777" w:rsidR="007C72B5" w:rsidRPr="005E087C" w:rsidRDefault="007C72B5" w:rsidP="008E0B86">
      <w:pPr>
        <w:pStyle w:val="a6"/>
        <w:numPr>
          <w:ilvl w:val="1"/>
          <w:numId w:val="1"/>
        </w:numPr>
        <w:tabs>
          <w:tab w:val="left" w:pos="709"/>
        </w:tabs>
        <w:spacing w:line="240" w:lineRule="auto"/>
        <w:ind w:left="0" w:firstLine="284"/>
        <w:jc w:val="both"/>
        <w:rPr>
          <w:color w:val="181818"/>
        </w:rPr>
      </w:pPr>
      <w:r w:rsidRPr="005E087C">
        <w:t>Ре</w:t>
      </w:r>
      <w:r w:rsidR="00E55755" w:rsidRPr="005E087C">
        <w:t>є</w:t>
      </w:r>
      <w:r w:rsidRPr="005E087C">
        <w:t xml:space="preserve">страція звернень в </w:t>
      </w:r>
      <w:r w:rsidR="008E0B86" w:rsidRPr="005E087C">
        <w:t>є</w:t>
      </w:r>
      <w:r w:rsidRPr="005E087C">
        <w:t xml:space="preserve">диній CRM </w:t>
      </w:r>
      <w:proofErr w:type="spellStart"/>
      <w:r w:rsidRPr="005E087C">
        <w:t>системi</w:t>
      </w:r>
      <w:proofErr w:type="spellEnd"/>
      <w:r w:rsidRPr="005E087C">
        <w:t>;</w:t>
      </w:r>
    </w:p>
    <w:p w14:paraId="4B40064E" w14:textId="77777777" w:rsidR="007C72B5" w:rsidRPr="005E087C" w:rsidRDefault="007C72B5" w:rsidP="008E0B86">
      <w:pPr>
        <w:pStyle w:val="a6"/>
        <w:numPr>
          <w:ilvl w:val="1"/>
          <w:numId w:val="1"/>
        </w:numPr>
        <w:tabs>
          <w:tab w:val="left" w:pos="709"/>
          <w:tab w:val="left" w:pos="1534"/>
        </w:tabs>
        <w:spacing w:line="240" w:lineRule="auto"/>
        <w:ind w:left="0" w:firstLine="284"/>
        <w:jc w:val="both"/>
        <w:rPr>
          <w:color w:val="1F1F1F"/>
        </w:rPr>
      </w:pPr>
      <w:r w:rsidRPr="005E087C">
        <w:t>Супровід заявки до моменту повного вирішення звернення;</w:t>
      </w:r>
    </w:p>
    <w:p w14:paraId="723ECD14" w14:textId="77777777" w:rsidR="007C72B5" w:rsidRPr="005E087C" w:rsidRDefault="007C72B5" w:rsidP="008E0B86">
      <w:pPr>
        <w:pStyle w:val="a6"/>
        <w:numPr>
          <w:ilvl w:val="1"/>
          <w:numId w:val="1"/>
        </w:numPr>
        <w:tabs>
          <w:tab w:val="left" w:pos="709"/>
        </w:tabs>
        <w:spacing w:line="240" w:lineRule="auto"/>
        <w:ind w:left="0" w:firstLine="284"/>
        <w:jc w:val="both"/>
        <w:rPr>
          <w:color w:val="181818"/>
        </w:rPr>
      </w:pPr>
      <w:r w:rsidRPr="005E087C">
        <w:t>Зворотній зв’язок з користувачем (замовником) після закри</w:t>
      </w:r>
      <w:r w:rsidR="00E55755" w:rsidRPr="005E087C">
        <w:t>тт</w:t>
      </w:r>
      <w:r w:rsidRPr="005E087C">
        <w:t>я звернення;</w:t>
      </w:r>
    </w:p>
    <w:p w14:paraId="6E4E63EF" w14:textId="77777777" w:rsidR="007C72B5" w:rsidRPr="005E087C" w:rsidRDefault="007C72B5" w:rsidP="008E0B86">
      <w:pPr>
        <w:pStyle w:val="a6"/>
        <w:numPr>
          <w:ilvl w:val="1"/>
          <w:numId w:val="1"/>
        </w:numPr>
        <w:tabs>
          <w:tab w:val="left" w:pos="709"/>
        </w:tabs>
        <w:spacing w:line="240" w:lineRule="auto"/>
        <w:ind w:left="0" w:firstLine="284"/>
        <w:jc w:val="both"/>
        <w:rPr>
          <w:color w:val="0C0C0C"/>
        </w:rPr>
      </w:pPr>
      <w:r w:rsidRPr="005E087C">
        <w:t>Запис телефонних розмов з користувачем (замовником).</w:t>
      </w:r>
    </w:p>
    <w:p w14:paraId="505CC8C6" w14:textId="77777777" w:rsidR="007C72B5" w:rsidRPr="005E087C" w:rsidRDefault="007C72B5" w:rsidP="005E087C">
      <w:pPr>
        <w:pStyle w:val="a4"/>
        <w:ind w:firstLine="284"/>
        <w:jc w:val="both"/>
      </w:pPr>
      <w:r w:rsidRPr="005E087C">
        <w:t>Належна підтримка замовника здійсню</w:t>
      </w:r>
      <w:r w:rsidR="008E0B86" w:rsidRPr="005E087C">
        <w:t>є</w:t>
      </w:r>
      <w:r w:rsidRPr="005E087C">
        <w:t>ться виконавцем через багатоканальну лінію зв’язку. Здійснення постійного та безперервного моніторингу ресурсів та використаного трафіку.</w:t>
      </w:r>
    </w:p>
    <w:p w14:paraId="128F4500" w14:textId="77777777" w:rsidR="007C72B5" w:rsidRPr="005E087C" w:rsidRDefault="007C72B5" w:rsidP="008E0B86">
      <w:pPr>
        <w:pStyle w:val="a4"/>
        <w:ind w:firstLine="284"/>
        <w:jc w:val="both"/>
      </w:pPr>
      <w:r w:rsidRPr="005E087C">
        <w:lastRenderedPageBreak/>
        <w:t>Здійснення підключення користувачів до комп’ютерної мере</w:t>
      </w:r>
      <w:r w:rsidR="008E0B86" w:rsidRPr="005E087C">
        <w:t>ж</w:t>
      </w:r>
      <w:r w:rsidRPr="005E087C">
        <w:t xml:space="preserve">і Львівської міської ради та мережних ресурсів </w:t>
      </w:r>
      <w:proofErr w:type="spellStart"/>
      <w:r w:rsidRPr="005E087C">
        <w:t>Active</w:t>
      </w:r>
      <w:proofErr w:type="spellEnd"/>
      <w:r w:rsidRPr="005E087C">
        <w:t xml:space="preserve"> </w:t>
      </w:r>
      <w:proofErr w:type="spellStart"/>
      <w:r w:rsidRPr="005E087C">
        <w:t>Directory</w:t>
      </w:r>
      <w:proofErr w:type="spellEnd"/>
      <w:r w:rsidRPr="005E087C">
        <w:t xml:space="preserve"> ЛМР.</w:t>
      </w:r>
    </w:p>
    <w:p w14:paraId="1D56C826" w14:textId="77777777" w:rsidR="007C72B5" w:rsidRPr="005E087C" w:rsidRDefault="007C72B5" w:rsidP="008E0B86">
      <w:pPr>
        <w:pStyle w:val="a4"/>
        <w:ind w:right="105" w:firstLine="284"/>
        <w:jc w:val="both"/>
      </w:pPr>
      <w:r w:rsidRPr="005E087C">
        <w:t>Забезпечення відновлення працездатності та/або заміну обладнання не пізніше 3-x годин з моме</w:t>
      </w:r>
      <w:r w:rsidR="00C652B3" w:rsidRPr="005E087C">
        <w:t>н</w:t>
      </w:r>
      <w:r w:rsidRPr="005E087C">
        <w:t>ту звернення. У випадку виходу з ладу обладнання його заміна ма</w:t>
      </w:r>
      <w:r w:rsidR="00C652B3" w:rsidRPr="005E087C">
        <w:t>є</w:t>
      </w:r>
      <w:r w:rsidRPr="005E087C">
        <w:t xml:space="preserve"> здійснюватися протягом 3 годин (не </w:t>
      </w:r>
      <w:r w:rsidR="00C652B3" w:rsidRPr="005E087C">
        <w:t>б</w:t>
      </w:r>
      <w:r w:rsidRPr="005E087C">
        <w:t xml:space="preserve">ільше), час виконання </w:t>
      </w:r>
      <w:proofErr w:type="spellStart"/>
      <w:r w:rsidRPr="005E087C">
        <w:t>робочi</w:t>
      </w:r>
      <w:proofErr w:type="spellEnd"/>
      <w:r w:rsidRPr="005E087C">
        <w:t xml:space="preserve"> д</w:t>
      </w:r>
      <w:r w:rsidR="00C652B3" w:rsidRPr="005E087C">
        <w:t>н</w:t>
      </w:r>
      <w:r w:rsidRPr="005E087C">
        <w:t>і, робочі години.</w:t>
      </w:r>
    </w:p>
    <w:p w14:paraId="254927A8" w14:textId="1312A865" w:rsidR="007C72B5" w:rsidRPr="005E087C" w:rsidRDefault="00E55755" w:rsidP="008E0B86">
      <w:pPr>
        <w:pStyle w:val="a4"/>
        <w:ind w:firstLine="284"/>
        <w:jc w:val="both"/>
        <w:rPr>
          <w:color w:val="000000"/>
          <w:kern w:val="1"/>
          <w:lang w:eastAsia="ar-SA"/>
        </w:rPr>
      </w:pPr>
      <w:r w:rsidRPr="005E087C">
        <w:rPr>
          <w:b/>
          <w:color w:val="000000"/>
          <w:kern w:val="1"/>
          <w:lang w:eastAsia="ar-SA"/>
        </w:rPr>
        <w:t xml:space="preserve">Орієнтовна кількість пристроїв замовника яким необхідно забезпечити доступ до локальної комп’ютерної мережі – </w:t>
      </w:r>
      <w:r w:rsidR="00042970">
        <w:rPr>
          <w:b/>
          <w:color w:val="000000"/>
          <w:kern w:val="1"/>
          <w:lang w:eastAsia="ar-SA"/>
        </w:rPr>
        <w:t>78</w:t>
      </w:r>
      <w:r w:rsidRPr="005E087C">
        <w:rPr>
          <w:color w:val="000000"/>
          <w:kern w:val="1"/>
          <w:lang w:eastAsia="ar-SA"/>
        </w:rPr>
        <w:t>.</w:t>
      </w:r>
    </w:p>
    <w:p w14:paraId="0283274F" w14:textId="77777777" w:rsidR="00E55755" w:rsidRPr="005E087C" w:rsidRDefault="00E55755" w:rsidP="008E0B86">
      <w:pPr>
        <w:pStyle w:val="a4"/>
        <w:ind w:firstLine="284"/>
        <w:jc w:val="both"/>
      </w:pPr>
    </w:p>
    <w:p w14:paraId="7C87BBEA" w14:textId="77777777" w:rsidR="007C72B5" w:rsidRPr="00257498" w:rsidRDefault="007C72B5" w:rsidP="008E0B86">
      <w:pPr>
        <w:pStyle w:val="1"/>
        <w:numPr>
          <w:ilvl w:val="0"/>
          <w:numId w:val="1"/>
        </w:numPr>
        <w:tabs>
          <w:tab w:val="left" w:pos="350"/>
        </w:tabs>
        <w:spacing w:before="0" w:line="240" w:lineRule="auto"/>
        <w:ind w:left="0" w:firstLine="284"/>
        <w:jc w:val="both"/>
        <w:rPr>
          <w:i w:val="0"/>
        </w:rPr>
      </w:pPr>
      <w:r w:rsidRPr="00257498">
        <w:rPr>
          <w:i w:val="0"/>
        </w:rPr>
        <w:t>Очікуван</w:t>
      </w:r>
      <w:r w:rsidR="00C652B3" w:rsidRPr="00257498">
        <w:rPr>
          <w:i w:val="0"/>
        </w:rPr>
        <w:t>а</w:t>
      </w:r>
      <w:r w:rsidRPr="00257498">
        <w:rPr>
          <w:i w:val="0"/>
        </w:rPr>
        <w:t xml:space="preserve"> </w:t>
      </w:r>
      <w:r w:rsidR="00C652B3" w:rsidRPr="00257498">
        <w:rPr>
          <w:i w:val="0"/>
        </w:rPr>
        <w:t>вартість та/або розмір бюджетного призначення:</w:t>
      </w:r>
    </w:p>
    <w:p w14:paraId="5DFACAC0" w14:textId="0CC4B358" w:rsidR="00257498" w:rsidRPr="00257498" w:rsidRDefault="00257498" w:rsidP="00257498">
      <w:pPr>
        <w:pStyle w:val="a4"/>
        <w:ind w:firstLine="284"/>
        <w:jc w:val="both"/>
      </w:pPr>
      <w:r w:rsidRPr="00257498">
        <w:t>Розмір бюджетного призначення визначено виходячи із пропозицій до бюджету на 202</w:t>
      </w:r>
      <w:r w:rsidRPr="00257498">
        <w:rPr>
          <w:lang w:val="en-US"/>
        </w:rPr>
        <w:t>4</w:t>
      </w:r>
      <w:r w:rsidRPr="00257498">
        <w:t xml:space="preserve"> рік, а також відповідно до прийнятої ухвали Львівської міської ради від 27.12.2023 № 4295 «Про бюджет Львівської міської територіальної громади на 2024 рік». Очікувану вартість процедури закупівлі визначено виходячи із розміру бюджетного призначення</w:t>
      </w:r>
      <w:r w:rsidR="00BD2BDA">
        <w:t xml:space="preserve"> та </w:t>
      </w:r>
      <w:r w:rsidR="00BD2BDA">
        <w:rPr>
          <w:rStyle w:val="a5"/>
          <w:color w:val="000000"/>
        </w:rPr>
        <w:t>згідно розрахунку до кошторису за КЕКВ 2240</w:t>
      </w:r>
      <w:r w:rsidR="00BD2BDA">
        <w:rPr>
          <w:rStyle w:val="a5"/>
          <w:color w:val="000000"/>
        </w:rPr>
        <w:t>.</w:t>
      </w:r>
    </w:p>
    <w:p w14:paraId="71EA8223" w14:textId="77777777" w:rsidR="00257498" w:rsidRPr="00257498" w:rsidRDefault="00257498" w:rsidP="008E0B86">
      <w:pPr>
        <w:pStyle w:val="a4"/>
        <w:ind w:right="102" w:firstLine="284"/>
        <w:jc w:val="both"/>
      </w:pPr>
    </w:p>
    <w:sectPr w:rsidR="00257498" w:rsidRPr="00257498" w:rsidSect="000B2432">
      <w:pgSz w:w="11906" w:h="16838"/>
      <w:pgMar w:top="850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150A2"/>
    <w:multiLevelType w:val="hybridMultilevel"/>
    <w:tmpl w:val="4402917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764F03FE"/>
    <w:multiLevelType w:val="hybridMultilevel"/>
    <w:tmpl w:val="371A2CAE"/>
    <w:lvl w:ilvl="0" w:tplc="7C0E8C06">
      <w:start w:val="2"/>
      <w:numFmt w:val="decimal"/>
      <w:lvlText w:val="%1."/>
      <w:lvlJc w:val="left"/>
      <w:pPr>
        <w:ind w:left="342" w:hanging="220"/>
      </w:pPr>
      <w:rPr>
        <w:rFonts w:ascii="Times New Roman" w:eastAsia="Times New Roman" w:hAnsi="Times New Roman" w:cs="Times New Roman" w:hint="default"/>
        <w:b/>
        <w:bCs/>
        <w:i w:val="0"/>
        <w:iCs/>
        <w:w w:val="95"/>
        <w:sz w:val="22"/>
        <w:szCs w:val="22"/>
        <w:lang w:val="uk-UA" w:eastAsia="en-US" w:bidi="ar-SA"/>
      </w:rPr>
    </w:lvl>
    <w:lvl w:ilvl="1" w:tplc="4CD86900">
      <w:numFmt w:val="bullet"/>
      <w:lvlText w:val="•"/>
      <w:lvlJc w:val="left"/>
      <w:pPr>
        <w:ind w:left="1538" w:hanging="715"/>
      </w:pPr>
      <w:rPr>
        <w:rFonts w:hint="default"/>
        <w:w w:val="105"/>
        <w:lang w:val="uk-UA" w:eastAsia="en-US" w:bidi="ar-SA"/>
      </w:rPr>
    </w:lvl>
    <w:lvl w:ilvl="2" w:tplc="B002E31A">
      <w:numFmt w:val="bullet"/>
      <w:lvlText w:val="•"/>
      <w:lvlJc w:val="left"/>
      <w:pPr>
        <w:ind w:left="2469" w:hanging="715"/>
      </w:pPr>
      <w:rPr>
        <w:rFonts w:hint="default"/>
        <w:lang w:val="uk-UA" w:eastAsia="en-US" w:bidi="ar-SA"/>
      </w:rPr>
    </w:lvl>
    <w:lvl w:ilvl="3" w:tplc="16809B6E">
      <w:numFmt w:val="bullet"/>
      <w:lvlText w:val="•"/>
      <w:lvlJc w:val="left"/>
      <w:pPr>
        <w:ind w:left="3398" w:hanging="715"/>
      </w:pPr>
      <w:rPr>
        <w:rFonts w:hint="default"/>
        <w:lang w:val="uk-UA" w:eastAsia="en-US" w:bidi="ar-SA"/>
      </w:rPr>
    </w:lvl>
    <w:lvl w:ilvl="4" w:tplc="3C6E9BC8">
      <w:numFmt w:val="bullet"/>
      <w:lvlText w:val="•"/>
      <w:lvlJc w:val="left"/>
      <w:pPr>
        <w:ind w:left="4327" w:hanging="715"/>
      </w:pPr>
      <w:rPr>
        <w:rFonts w:hint="default"/>
        <w:lang w:val="uk-UA" w:eastAsia="en-US" w:bidi="ar-SA"/>
      </w:rPr>
    </w:lvl>
    <w:lvl w:ilvl="5" w:tplc="B5D2DBF8">
      <w:numFmt w:val="bullet"/>
      <w:lvlText w:val="•"/>
      <w:lvlJc w:val="left"/>
      <w:pPr>
        <w:ind w:left="5256" w:hanging="715"/>
      </w:pPr>
      <w:rPr>
        <w:rFonts w:hint="default"/>
        <w:lang w:val="uk-UA" w:eastAsia="en-US" w:bidi="ar-SA"/>
      </w:rPr>
    </w:lvl>
    <w:lvl w:ilvl="6" w:tplc="7980AF6A">
      <w:numFmt w:val="bullet"/>
      <w:lvlText w:val="•"/>
      <w:lvlJc w:val="left"/>
      <w:pPr>
        <w:ind w:left="6185" w:hanging="715"/>
      </w:pPr>
      <w:rPr>
        <w:rFonts w:hint="default"/>
        <w:lang w:val="uk-UA" w:eastAsia="en-US" w:bidi="ar-SA"/>
      </w:rPr>
    </w:lvl>
    <w:lvl w:ilvl="7" w:tplc="1FAC72F0">
      <w:numFmt w:val="bullet"/>
      <w:lvlText w:val="•"/>
      <w:lvlJc w:val="left"/>
      <w:pPr>
        <w:ind w:left="7114" w:hanging="715"/>
      </w:pPr>
      <w:rPr>
        <w:rFonts w:hint="default"/>
        <w:lang w:val="uk-UA" w:eastAsia="en-US" w:bidi="ar-SA"/>
      </w:rPr>
    </w:lvl>
    <w:lvl w:ilvl="8" w:tplc="CCB25A60">
      <w:numFmt w:val="bullet"/>
      <w:lvlText w:val="•"/>
      <w:lvlJc w:val="left"/>
      <w:pPr>
        <w:ind w:left="8043" w:hanging="715"/>
      </w:pPr>
      <w:rPr>
        <w:rFonts w:hint="default"/>
        <w:lang w:val="uk-UA" w:eastAsia="en-US" w:bidi="ar-SA"/>
      </w:rPr>
    </w:lvl>
  </w:abstractNum>
  <w:num w:numId="1" w16cid:durableId="1752193507">
    <w:abstractNumId w:val="1"/>
  </w:num>
  <w:num w:numId="2" w16cid:durableId="1506556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338"/>
    <w:rsid w:val="00042970"/>
    <w:rsid w:val="000B2432"/>
    <w:rsid w:val="00257498"/>
    <w:rsid w:val="002B3994"/>
    <w:rsid w:val="005E087C"/>
    <w:rsid w:val="007C72B5"/>
    <w:rsid w:val="008E0B86"/>
    <w:rsid w:val="00917338"/>
    <w:rsid w:val="009D2CDF"/>
    <w:rsid w:val="00B67810"/>
    <w:rsid w:val="00BD2BDA"/>
    <w:rsid w:val="00C00F06"/>
    <w:rsid w:val="00C533FC"/>
    <w:rsid w:val="00C652B3"/>
    <w:rsid w:val="00D1234B"/>
    <w:rsid w:val="00D43FE8"/>
    <w:rsid w:val="00E55755"/>
    <w:rsid w:val="00F3279F"/>
    <w:rsid w:val="00FF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A32E8"/>
  <w15:chartTrackingRefBased/>
  <w15:docId w15:val="{E4E6B8A9-B7DA-4645-97CB-C7B302B0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2B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7C72B5"/>
    <w:pPr>
      <w:widowControl w:val="0"/>
      <w:autoSpaceDE w:val="0"/>
      <w:autoSpaceDN w:val="0"/>
      <w:spacing w:before="1" w:after="0" w:line="252" w:lineRule="exact"/>
      <w:ind w:left="138"/>
      <w:outlineLvl w:val="0"/>
    </w:pPr>
    <w:rPr>
      <w:rFonts w:ascii="Times New Roman" w:eastAsia="Times New Roman" w:hAnsi="Times New Roman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72B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7C72B5"/>
    <w:rPr>
      <w:rFonts w:ascii="Times New Roman" w:eastAsia="Times New Roman" w:hAnsi="Times New Roman" w:cs="Times New Roman"/>
      <w:b/>
      <w:bCs/>
      <w:i/>
      <w:iCs/>
    </w:rPr>
  </w:style>
  <w:style w:type="paragraph" w:styleId="a4">
    <w:name w:val="Body Text"/>
    <w:basedOn w:val="a"/>
    <w:link w:val="a5"/>
    <w:uiPriority w:val="1"/>
    <w:qFormat/>
    <w:rsid w:val="007C72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a5">
    <w:name w:val="Основний текст Знак"/>
    <w:basedOn w:val="a0"/>
    <w:link w:val="a4"/>
    <w:rsid w:val="007C72B5"/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7C72B5"/>
    <w:pPr>
      <w:widowControl w:val="0"/>
      <w:autoSpaceDE w:val="0"/>
      <w:autoSpaceDN w:val="0"/>
      <w:spacing w:after="0" w:line="252" w:lineRule="exact"/>
      <w:ind w:left="1537" w:hanging="715"/>
    </w:pPr>
    <w:rPr>
      <w:rFonts w:ascii="Times New Roman" w:eastAsia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5E0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E087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2808</Words>
  <Characters>1601</Characters>
  <Application>Microsoft Office Word</Application>
  <DocSecurity>0</DocSecurity>
  <Lines>13</Lines>
  <Paragraphs>8</Paragraphs>
  <ScaleCrop>false</ScaleCrop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Vololovtseva.Natalya</dc:creator>
  <cp:keywords/>
  <dc:description/>
  <cp:lastModifiedBy>Управління Фінансів</cp:lastModifiedBy>
  <cp:revision>16</cp:revision>
  <cp:lastPrinted>2023-01-17T13:53:00Z</cp:lastPrinted>
  <dcterms:created xsi:type="dcterms:W3CDTF">2023-01-17T12:13:00Z</dcterms:created>
  <dcterms:modified xsi:type="dcterms:W3CDTF">2024-01-23T08:38:00Z</dcterms:modified>
</cp:coreProperties>
</file>