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5C32" w14:textId="77777777" w:rsidR="00527DD9" w:rsidRPr="003A0106" w:rsidRDefault="00527DD9" w:rsidP="00527DD9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3A0106">
        <w:rPr>
          <w:rFonts w:ascii="Times New Roman" w:hAnsi="Times New Roman"/>
          <w:b/>
          <w:kern w:val="1"/>
          <w:sz w:val="24"/>
          <w:szCs w:val="24"/>
          <w:lang w:eastAsia="ar-SA"/>
        </w:rPr>
        <w:t>«</w:t>
      </w:r>
      <w:r w:rsidRPr="00C76FF3">
        <w:rPr>
          <w:rFonts w:ascii="Times New Roman" w:hAnsi="Times New Roman"/>
          <w:b/>
          <w:kern w:val="1"/>
          <w:sz w:val="24"/>
          <w:szCs w:val="24"/>
          <w:lang w:eastAsia="ar-SA"/>
        </w:rPr>
        <w:t>Послуги із обслуговування базового програмного забезпечення</w:t>
      </w:r>
      <w:r w:rsidRPr="003A0106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» </w:t>
      </w:r>
    </w:p>
    <w:p w14:paraId="72A2C6D9" w14:textId="77777777" w:rsidR="00B67810" w:rsidRDefault="00527DD9" w:rsidP="00527DD9">
      <w:pPr>
        <w:jc w:val="center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3A0106">
        <w:rPr>
          <w:rFonts w:ascii="Times New Roman" w:hAnsi="Times New Roman"/>
          <w:b/>
          <w:kern w:val="1"/>
          <w:sz w:val="24"/>
          <w:szCs w:val="24"/>
          <w:lang w:eastAsia="ar-SA"/>
        </w:rPr>
        <w:t>(ДК 021:2015: 72260000-5 - Послуги, пов’язані з програмним забезпеченням)</w:t>
      </w:r>
    </w:p>
    <w:p w14:paraId="69B3671E" w14:textId="77777777" w:rsidR="007C72B5" w:rsidRPr="00527DD9" w:rsidRDefault="007C72B5" w:rsidP="00527DD9">
      <w:pPr>
        <w:pStyle w:val="a4"/>
        <w:ind w:right="127" w:firstLine="284"/>
        <w:jc w:val="both"/>
      </w:pPr>
      <w:r w:rsidRPr="00527DD9">
        <w:t>На виконання постанови КМУ від 11 жовтня 2016 р. №</w:t>
      </w:r>
      <w:r w:rsidRPr="00527DD9">
        <w:rPr>
          <w:i/>
        </w:rPr>
        <w:t xml:space="preserve"> </w:t>
      </w:r>
      <w:r w:rsidRPr="00527DD9">
        <w:t xml:space="preserve">710 ‹Про ефективне використання державних коштів» </w:t>
      </w:r>
      <w:r w:rsidRPr="00527DD9">
        <w:rPr>
          <w:color w:val="212121"/>
        </w:rPr>
        <w:t xml:space="preserve">у </w:t>
      </w:r>
      <w:r w:rsidRPr="00527DD9">
        <w:t xml:space="preserve">зв’язку із необхідністю проведення закупівлі </w:t>
      </w:r>
      <w:r w:rsidR="00527DD9" w:rsidRPr="00527DD9">
        <w:t>«Послуги із обслуговування базового програмного забезпечення» (ДК 021:2015: 72260000-5 - Послуги, пов’язані з програмним забезпеченням)</w:t>
      </w:r>
      <w:r w:rsidRPr="00527DD9">
        <w:t xml:space="preserve"> для потреб Департаменту фінансової політики Львівської міської ради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14:paraId="2287E682" w14:textId="77777777" w:rsidR="007C72B5" w:rsidRPr="00527DD9" w:rsidRDefault="007C72B5" w:rsidP="008E0B86">
      <w:pPr>
        <w:pStyle w:val="1"/>
        <w:spacing w:before="0" w:line="240" w:lineRule="auto"/>
        <w:ind w:left="0" w:firstLine="284"/>
        <w:jc w:val="both"/>
        <w:rPr>
          <w:i w:val="0"/>
        </w:rPr>
      </w:pPr>
      <w:r w:rsidRPr="00527DD9">
        <w:rPr>
          <w:i w:val="0"/>
        </w:rPr>
        <w:t>1.</w:t>
      </w:r>
      <w:r w:rsidRPr="00527DD9">
        <w:rPr>
          <w:b w:val="0"/>
          <w:i w:val="0"/>
        </w:rPr>
        <w:t xml:space="preserve"> </w:t>
      </w:r>
      <w:r w:rsidR="00E55755" w:rsidRPr="00527DD9">
        <w:rPr>
          <w:b w:val="0"/>
          <w:i w:val="0"/>
        </w:rPr>
        <w:t xml:space="preserve">  </w:t>
      </w:r>
      <w:proofErr w:type="spellStart"/>
      <w:r w:rsidRPr="00527DD9">
        <w:rPr>
          <w:i w:val="0"/>
        </w:rPr>
        <w:t>Hазва</w:t>
      </w:r>
      <w:proofErr w:type="spellEnd"/>
      <w:r w:rsidRPr="00527DD9">
        <w:rPr>
          <w:i w:val="0"/>
        </w:rPr>
        <w:t xml:space="preserve"> </w:t>
      </w:r>
      <w:proofErr w:type="spellStart"/>
      <w:r w:rsidRPr="00527DD9">
        <w:rPr>
          <w:i w:val="0"/>
        </w:rPr>
        <w:t>пpeдмета</w:t>
      </w:r>
      <w:proofErr w:type="spellEnd"/>
      <w:r w:rsidRPr="00527DD9">
        <w:rPr>
          <w:i w:val="0"/>
        </w:rPr>
        <w:t xml:space="preserve"> закупівлі із зазначенням коду за Єдиним закупівельним</w:t>
      </w:r>
      <w:r w:rsidRPr="00527DD9">
        <w:rPr>
          <w:b w:val="0"/>
          <w:i w:val="0"/>
        </w:rPr>
        <w:t xml:space="preserve"> </w:t>
      </w:r>
      <w:r w:rsidRPr="00527DD9">
        <w:rPr>
          <w:i w:val="0"/>
        </w:rPr>
        <w:t>словником:</w:t>
      </w:r>
    </w:p>
    <w:p w14:paraId="52A2BF53" w14:textId="77777777" w:rsidR="007C72B5" w:rsidRPr="00527DD9" w:rsidRDefault="00527DD9" w:rsidP="00527DD9">
      <w:pPr>
        <w:pStyle w:val="a4"/>
        <w:ind w:firstLine="284"/>
        <w:jc w:val="both"/>
      </w:pPr>
      <w:r w:rsidRPr="00527DD9">
        <w:t>«Послуги із обслуговування базового програмного забезпечення» (ДК 021:2015: 72260000-5 - Послуги, пов’язані з програмним забезпеченням)</w:t>
      </w:r>
    </w:p>
    <w:p w14:paraId="4892B289" w14:textId="77777777" w:rsidR="007C72B5" w:rsidRPr="00527DD9" w:rsidRDefault="002B3994" w:rsidP="008E0B86">
      <w:pPr>
        <w:pStyle w:val="1"/>
        <w:numPr>
          <w:ilvl w:val="0"/>
          <w:numId w:val="1"/>
        </w:numPr>
        <w:tabs>
          <w:tab w:val="left" w:pos="343"/>
        </w:tabs>
        <w:spacing w:before="0" w:line="240" w:lineRule="auto"/>
        <w:ind w:left="0" w:firstLine="284"/>
        <w:jc w:val="both"/>
      </w:pPr>
      <w:proofErr w:type="spellStart"/>
      <w:r w:rsidRPr="00527DD9">
        <w:rPr>
          <w:i w:val="0"/>
        </w:rPr>
        <w:t>Обґрунтуваня</w:t>
      </w:r>
      <w:proofErr w:type="spellEnd"/>
      <w:r w:rsidR="007C72B5" w:rsidRPr="00527DD9">
        <w:rPr>
          <w:i w:val="0"/>
        </w:rPr>
        <w:t xml:space="preserve"> технічних</w:t>
      </w:r>
      <w:r w:rsidR="007C72B5" w:rsidRPr="00527DD9">
        <w:t xml:space="preserve"> </w:t>
      </w:r>
      <w:r w:rsidR="007C72B5" w:rsidRPr="00527DD9">
        <w:rPr>
          <w:i w:val="0"/>
        </w:rPr>
        <w:t>та якіс</w:t>
      </w:r>
      <w:r w:rsidRPr="00527DD9">
        <w:rPr>
          <w:i w:val="0"/>
        </w:rPr>
        <w:t>н</w:t>
      </w:r>
      <w:r w:rsidR="007C72B5" w:rsidRPr="00527DD9">
        <w:rPr>
          <w:i w:val="0"/>
        </w:rPr>
        <w:t>их</w:t>
      </w:r>
      <w:r w:rsidR="007C72B5" w:rsidRPr="00527DD9">
        <w:t xml:space="preserve"> </w:t>
      </w:r>
      <w:r w:rsidRPr="00527DD9">
        <w:rPr>
          <w:i w:val="0"/>
        </w:rPr>
        <w:t>характеристик предмета закупівлі</w:t>
      </w:r>
      <w:r w:rsidR="007C72B5" w:rsidRPr="00527DD9">
        <w:t>:</w:t>
      </w:r>
    </w:p>
    <w:p w14:paraId="3ED81460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Підтримка користувачів (замовника) у робочий час замовника.</w:t>
      </w:r>
    </w:p>
    <w:p w14:paraId="02928237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 xml:space="preserve">Належна підтримка замовника здійснюється виконавцем шляхом виклику фахівця за </w:t>
      </w:r>
      <w:proofErr w:type="spellStart"/>
      <w:r w:rsidRPr="00527DD9">
        <w:rPr>
          <w:color w:val="000000"/>
          <w:kern w:val="1"/>
          <w:lang w:eastAsia="ar-SA"/>
        </w:rPr>
        <w:t>адресою</w:t>
      </w:r>
      <w:proofErr w:type="spellEnd"/>
      <w:r w:rsidRPr="00527DD9">
        <w:rPr>
          <w:color w:val="000000"/>
          <w:kern w:val="1"/>
          <w:lang w:eastAsia="ar-SA"/>
        </w:rPr>
        <w:t xml:space="preserve"> замовника, віддалено та через багатоканальну лінію зв’язку.</w:t>
      </w:r>
    </w:p>
    <w:p w14:paraId="499A3B91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Служба підтримки виконавця щодо надання послуг з обслуговування базового програмного забезпечення повинна забезпечувати наступне:</w:t>
      </w:r>
    </w:p>
    <w:p w14:paraId="3CEBFD60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Реєстрація звернень в єдиній CRM системі;</w:t>
      </w:r>
    </w:p>
    <w:p w14:paraId="4464123C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Супровід заявки до моменту повного вирішення звернення;</w:t>
      </w:r>
    </w:p>
    <w:p w14:paraId="4E1C50C7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Зворотній зв’язок з користувачем (замовником) після закриття звернення;</w:t>
      </w:r>
    </w:p>
    <w:p w14:paraId="2F53B8FD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Запис телефонних розмов з користувачем (замовником).</w:t>
      </w:r>
    </w:p>
    <w:p w14:paraId="39EC7B75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 xml:space="preserve">Наявність можливості віддаленого вирішення звернення через програмне забезпечення, яке не суперечить вимогам Єдиного державного реєстру міністерства </w:t>
      </w:r>
      <w:proofErr w:type="spellStart"/>
      <w:r w:rsidRPr="00527DD9">
        <w:rPr>
          <w:color w:val="000000"/>
          <w:kern w:val="1"/>
          <w:lang w:eastAsia="ar-SA"/>
        </w:rPr>
        <w:t>юстицій</w:t>
      </w:r>
      <w:proofErr w:type="spellEnd"/>
      <w:r w:rsidRPr="00527DD9">
        <w:rPr>
          <w:color w:val="000000"/>
          <w:kern w:val="1"/>
          <w:lang w:eastAsia="ar-SA"/>
        </w:rPr>
        <w:t xml:space="preserve"> України.</w:t>
      </w:r>
    </w:p>
    <w:p w14:paraId="4048FE29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Обслуговування базового програмного забезпечення, а саме:</w:t>
      </w:r>
    </w:p>
    <w:p w14:paraId="4B4B4FBF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Операційної системи;</w:t>
      </w:r>
    </w:p>
    <w:p w14:paraId="233F3EF6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Програмного забезпечення для перегляду, редагування документів та електронних таблиць;</w:t>
      </w:r>
    </w:p>
    <w:p w14:paraId="4C5F1E69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Поштового клієнта;</w:t>
      </w:r>
    </w:p>
    <w:p w14:paraId="781E8113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 xml:space="preserve">Програмного забезпечення для перегляду </w:t>
      </w:r>
      <w:proofErr w:type="spellStart"/>
      <w:r w:rsidRPr="00527DD9">
        <w:rPr>
          <w:color w:val="000000"/>
          <w:kern w:val="1"/>
          <w:lang w:eastAsia="ar-SA"/>
        </w:rPr>
        <w:t>pdf</w:t>
      </w:r>
      <w:proofErr w:type="spellEnd"/>
      <w:r w:rsidRPr="00527DD9">
        <w:rPr>
          <w:color w:val="000000"/>
          <w:kern w:val="1"/>
          <w:lang w:eastAsia="ar-SA"/>
        </w:rPr>
        <w:t xml:space="preserve"> файлів;</w:t>
      </w:r>
    </w:p>
    <w:p w14:paraId="454ABB6D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Програмного забезпечення для перегляду зображень;</w:t>
      </w:r>
    </w:p>
    <w:p w14:paraId="5F051272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Програмного забезпечення для архівування;</w:t>
      </w:r>
    </w:p>
    <w:p w14:paraId="60A1950D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Інтернет браузерів;</w:t>
      </w:r>
    </w:p>
    <w:p w14:paraId="31DFF44E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Інструментального та бухгалтерського програмного забезпечення;</w:t>
      </w:r>
    </w:p>
    <w:p w14:paraId="77AC3358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Ліцензійного антивірусного програмного забезпечення.</w:t>
      </w:r>
    </w:p>
    <w:p w14:paraId="243A9D19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Допомога із встановленням та відновлення роботи інструментального та бухгалтерського програмного забезпечення.</w:t>
      </w:r>
    </w:p>
    <w:p w14:paraId="77A991BC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Встановлення, переустановлення операційної системи із збереженням інформації, відновлення роботи, допомога із налаштуванням інтерфейсу .</w:t>
      </w:r>
    </w:p>
    <w:p w14:paraId="3F48C857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Встановлення, налаштування та підтримка ліцензійного антивірусного захисту.</w:t>
      </w:r>
    </w:p>
    <w:p w14:paraId="663A92EF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 xml:space="preserve">Створення та налаштування доменних користувачів в </w:t>
      </w:r>
      <w:proofErr w:type="spellStart"/>
      <w:r w:rsidRPr="00527DD9">
        <w:rPr>
          <w:color w:val="000000"/>
          <w:kern w:val="1"/>
          <w:lang w:eastAsia="ar-SA"/>
        </w:rPr>
        <w:t>Active</w:t>
      </w:r>
      <w:proofErr w:type="spellEnd"/>
      <w:r w:rsidRPr="00527DD9">
        <w:rPr>
          <w:color w:val="000000"/>
          <w:kern w:val="1"/>
          <w:lang w:eastAsia="ar-SA"/>
        </w:rPr>
        <w:t xml:space="preserve"> </w:t>
      </w:r>
      <w:proofErr w:type="spellStart"/>
      <w:r w:rsidRPr="00527DD9">
        <w:rPr>
          <w:color w:val="000000"/>
          <w:kern w:val="1"/>
          <w:lang w:eastAsia="ar-SA"/>
        </w:rPr>
        <w:t>Directory</w:t>
      </w:r>
      <w:proofErr w:type="spellEnd"/>
      <w:r w:rsidRPr="00527DD9">
        <w:rPr>
          <w:color w:val="000000"/>
          <w:kern w:val="1"/>
          <w:lang w:eastAsia="ar-SA"/>
        </w:rPr>
        <w:t xml:space="preserve"> що розгорнута на сервері Львівської Міської Ради.</w:t>
      </w:r>
    </w:p>
    <w:p w14:paraId="7023D927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 xml:space="preserve">Створення корпоративної поштової скриньки, що знаходиться на домені @lvivcity.gov.ua. </w:t>
      </w:r>
    </w:p>
    <w:p w14:paraId="2A4E9073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Виконання звернень із часовими рамками, що не перевищують наступне:</w:t>
      </w:r>
    </w:p>
    <w:p w14:paraId="2308592E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Роботи з базовим програмним забезпеченням – 90хв</w:t>
      </w:r>
    </w:p>
    <w:p w14:paraId="1252058B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 xml:space="preserve">Консультація користувачів щодо відновлення роботи інструментального та бухгалтерського програмного забезпечення – 240 хв </w:t>
      </w:r>
    </w:p>
    <w:p w14:paraId="6FAB5213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Встановлення операційної системи – 240 хв</w:t>
      </w:r>
    </w:p>
    <w:p w14:paraId="1A78A608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Заміна операційної системи із збереженням інформації – 480 хв</w:t>
      </w:r>
    </w:p>
    <w:p w14:paraId="21862F97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Роботи з інтерфейсом операційної системи – 120 хв</w:t>
      </w:r>
    </w:p>
    <w:p w14:paraId="33DC6D8D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 xml:space="preserve">Створення та налаштування доменних користувачів в </w:t>
      </w:r>
      <w:proofErr w:type="spellStart"/>
      <w:r w:rsidRPr="00527DD9">
        <w:rPr>
          <w:color w:val="000000"/>
          <w:kern w:val="1"/>
          <w:lang w:eastAsia="ar-SA"/>
        </w:rPr>
        <w:t>Active</w:t>
      </w:r>
      <w:proofErr w:type="spellEnd"/>
      <w:r w:rsidRPr="00527DD9">
        <w:rPr>
          <w:color w:val="000000"/>
          <w:kern w:val="1"/>
          <w:lang w:eastAsia="ar-SA"/>
        </w:rPr>
        <w:t xml:space="preserve"> </w:t>
      </w:r>
      <w:proofErr w:type="spellStart"/>
      <w:r w:rsidRPr="00527DD9">
        <w:rPr>
          <w:color w:val="000000"/>
          <w:kern w:val="1"/>
          <w:lang w:eastAsia="ar-SA"/>
        </w:rPr>
        <w:t>Directory</w:t>
      </w:r>
      <w:proofErr w:type="spellEnd"/>
      <w:r w:rsidRPr="00527DD9">
        <w:rPr>
          <w:color w:val="000000"/>
          <w:kern w:val="1"/>
          <w:lang w:eastAsia="ar-SA"/>
        </w:rPr>
        <w:t>, що розгорнута на сервері ЛМР – 120 хв</w:t>
      </w:r>
    </w:p>
    <w:p w14:paraId="2A638ED1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•</w:t>
      </w:r>
      <w:r w:rsidRPr="00527DD9">
        <w:rPr>
          <w:color w:val="000000"/>
          <w:kern w:val="1"/>
          <w:lang w:eastAsia="ar-SA"/>
        </w:rPr>
        <w:tab/>
        <w:t>Створення корпоративної поштової скриньки, що знаходиться на домені @lvivcity.gov.ua – 120 хв</w:t>
      </w:r>
    </w:p>
    <w:p w14:paraId="486AC489" w14:textId="77777777" w:rsidR="00527DD9" w:rsidRPr="00527DD9" w:rsidRDefault="00527DD9" w:rsidP="00527DD9">
      <w:pPr>
        <w:pStyle w:val="a6"/>
        <w:suppressAutoHyphens/>
        <w:spacing w:line="240" w:lineRule="auto"/>
        <w:ind w:left="0" w:firstLine="284"/>
        <w:jc w:val="both"/>
        <w:rPr>
          <w:color w:val="000000"/>
          <w:kern w:val="1"/>
          <w:lang w:eastAsia="ar-SA"/>
        </w:rPr>
      </w:pPr>
      <w:r w:rsidRPr="00527DD9">
        <w:rPr>
          <w:color w:val="000000"/>
          <w:kern w:val="1"/>
          <w:lang w:eastAsia="ar-SA"/>
        </w:rPr>
        <w:t>Здійснення огляду персональних комп'ютерів на наявність пошкодженого, зайвого програмного базового забезпечення, та на актуальність останнім версіям  програмного базового забезпечення Замовника, не менше одного разу на місяць.</w:t>
      </w:r>
    </w:p>
    <w:p w14:paraId="4302A917" w14:textId="70561500" w:rsidR="007C72B5" w:rsidRDefault="00527DD9" w:rsidP="00527DD9">
      <w:pPr>
        <w:pStyle w:val="a4"/>
        <w:ind w:firstLine="284"/>
        <w:jc w:val="both"/>
        <w:rPr>
          <w:b/>
          <w:color w:val="000000"/>
          <w:kern w:val="1"/>
          <w:lang w:eastAsia="ar-SA"/>
        </w:rPr>
      </w:pPr>
      <w:r w:rsidRPr="00527DD9">
        <w:rPr>
          <w:b/>
          <w:color w:val="000000"/>
          <w:kern w:val="1"/>
          <w:lang w:eastAsia="ar-SA"/>
        </w:rPr>
        <w:t>Орієнтовна кількість одиниць комп’ютерної техніки замовника - 7</w:t>
      </w:r>
      <w:r w:rsidR="00981A83">
        <w:rPr>
          <w:b/>
          <w:color w:val="000000"/>
          <w:kern w:val="1"/>
          <w:lang w:eastAsia="ar-SA"/>
        </w:rPr>
        <w:t>2</w:t>
      </w:r>
      <w:r w:rsidR="00E55755" w:rsidRPr="00527DD9">
        <w:rPr>
          <w:b/>
          <w:color w:val="000000"/>
          <w:kern w:val="1"/>
          <w:lang w:eastAsia="ar-SA"/>
        </w:rPr>
        <w:t>.</w:t>
      </w:r>
    </w:p>
    <w:p w14:paraId="581DB1B8" w14:textId="77777777" w:rsidR="00527DD9" w:rsidRDefault="00527DD9" w:rsidP="00527DD9">
      <w:pPr>
        <w:pStyle w:val="a4"/>
        <w:ind w:firstLine="284"/>
        <w:jc w:val="both"/>
        <w:rPr>
          <w:b/>
          <w:color w:val="000000"/>
          <w:kern w:val="1"/>
          <w:lang w:eastAsia="ar-SA"/>
        </w:rPr>
      </w:pPr>
    </w:p>
    <w:p w14:paraId="0637BBEF" w14:textId="77777777" w:rsidR="00527DD9" w:rsidRPr="00527DD9" w:rsidRDefault="00527DD9" w:rsidP="00527DD9">
      <w:pPr>
        <w:pStyle w:val="a4"/>
        <w:ind w:firstLine="284"/>
        <w:jc w:val="both"/>
        <w:rPr>
          <w:b/>
          <w:color w:val="000000"/>
          <w:kern w:val="1"/>
          <w:lang w:eastAsia="ar-SA"/>
        </w:rPr>
      </w:pPr>
    </w:p>
    <w:p w14:paraId="23317C5E" w14:textId="77777777" w:rsidR="007C72B5" w:rsidRPr="00527DD9" w:rsidRDefault="007C72B5" w:rsidP="00527DD9">
      <w:pPr>
        <w:pStyle w:val="1"/>
        <w:numPr>
          <w:ilvl w:val="0"/>
          <w:numId w:val="1"/>
        </w:numPr>
        <w:tabs>
          <w:tab w:val="left" w:pos="350"/>
        </w:tabs>
        <w:spacing w:before="0" w:line="240" w:lineRule="auto"/>
        <w:ind w:left="0" w:firstLine="284"/>
        <w:jc w:val="both"/>
        <w:rPr>
          <w:i w:val="0"/>
        </w:rPr>
      </w:pPr>
      <w:r w:rsidRPr="00527DD9">
        <w:rPr>
          <w:i w:val="0"/>
        </w:rPr>
        <w:lastRenderedPageBreak/>
        <w:t>Очікуван</w:t>
      </w:r>
      <w:r w:rsidR="00C652B3" w:rsidRPr="00527DD9">
        <w:rPr>
          <w:i w:val="0"/>
        </w:rPr>
        <w:t>а</w:t>
      </w:r>
      <w:r w:rsidRPr="00527DD9">
        <w:rPr>
          <w:i w:val="0"/>
        </w:rPr>
        <w:t xml:space="preserve"> </w:t>
      </w:r>
      <w:r w:rsidR="00C652B3" w:rsidRPr="00527DD9">
        <w:rPr>
          <w:i w:val="0"/>
        </w:rPr>
        <w:t>вартість та/або розмір бюджетного призначення:</w:t>
      </w:r>
    </w:p>
    <w:p w14:paraId="284DFC48" w14:textId="77777777" w:rsidR="005C40D3" w:rsidRDefault="00262408" w:rsidP="005C40D3">
      <w:pPr>
        <w:pStyle w:val="a4"/>
        <w:ind w:firstLine="284"/>
        <w:jc w:val="both"/>
      </w:pPr>
      <w:r w:rsidRPr="00257498">
        <w:t>Розмір бюджетного призначення визначено виходячи із пропозицій до бюджету на 202</w:t>
      </w:r>
      <w:r w:rsidRPr="00257498">
        <w:rPr>
          <w:lang w:val="en-US"/>
        </w:rPr>
        <w:t>4</w:t>
      </w:r>
      <w:r w:rsidRPr="00257498">
        <w:t xml:space="preserve"> рік, а також відповідно до прийнятої ухвали Львівської міської ради від 27.12.2023 № 4295 «Про бюджет Львівської міської територіальної громади на 2024 рік». </w:t>
      </w:r>
      <w:r w:rsidR="005C40D3">
        <w:t xml:space="preserve">Очікувану вартість процедури закупівлі визначено виходячи із розміру бюджетного призначення та </w:t>
      </w:r>
      <w:r w:rsidR="005C40D3">
        <w:rPr>
          <w:rStyle w:val="a5"/>
          <w:color w:val="000000"/>
        </w:rPr>
        <w:t>згідно розрахунку до кошторису за КЕКВ 2240.</w:t>
      </w:r>
    </w:p>
    <w:p w14:paraId="667BDEF8" w14:textId="52D4213C" w:rsidR="007C72B5" w:rsidRPr="003149CF" w:rsidRDefault="007C72B5" w:rsidP="003149CF">
      <w:pPr>
        <w:pStyle w:val="a4"/>
        <w:ind w:firstLine="284"/>
        <w:jc w:val="both"/>
      </w:pPr>
    </w:p>
    <w:sectPr w:rsidR="007C72B5" w:rsidRPr="003149CF" w:rsidSect="00630FC7">
      <w:pgSz w:w="11906" w:h="16838"/>
      <w:pgMar w:top="851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150A2"/>
    <w:multiLevelType w:val="hybridMultilevel"/>
    <w:tmpl w:val="440291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64F03FE"/>
    <w:multiLevelType w:val="hybridMultilevel"/>
    <w:tmpl w:val="371A2CAE"/>
    <w:lvl w:ilvl="0" w:tplc="7C0E8C06">
      <w:start w:val="2"/>
      <w:numFmt w:val="decimal"/>
      <w:lvlText w:val="%1."/>
      <w:lvlJc w:val="left"/>
      <w:pPr>
        <w:ind w:left="342" w:hanging="220"/>
      </w:pPr>
      <w:rPr>
        <w:rFonts w:ascii="Times New Roman" w:eastAsia="Times New Roman" w:hAnsi="Times New Roman" w:cs="Times New Roman" w:hint="default"/>
        <w:b/>
        <w:bCs/>
        <w:i w:val="0"/>
        <w:iCs/>
        <w:w w:val="95"/>
        <w:sz w:val="22"/>
        <w:szCs w:val="22"/>
        <w:lang w:val="uk-UA" w:eastAsia="en-US" w:bidi="ar-SA"/>
      </w:rPr>
    </w:lvl>
    <w:lvl w:ilvl="1" w:tplc="4CD86900">
      <w:numFmt w:val="bullet"/>
      <w:lvlText w:val="•"/>
      <w:lvlJc w:val="left"/>
      <w:pPr>
        <w:ind w:left="1538" w:hanging="715"/>
      </w:pPr>
      <w:rPr>
        <w:rFonts w:hint="default"/>
        <w:w w:val="105"/>
        <w:lang w:val="uk-UA" w:eastAsia="en-US" w:bidi="ar-SA"/>
      </w:rPr>
    </w:lvl>
    <w:lvl w:ilvl="2" w:tplc="B002E31A">
      <w:numFmt w:val="bullet"/>
      <w:lvlText w:val="•"/>
      <w:lvlJc w:val="left"/>
      <w:pPr>
        <w:ind w:left="2469" w:hanging="715"/>
      </w:pPr>
      <w:rPr>
        <w:rFonts w:hint="default"/>
        <w:lang w:val="uk-UA" w:eastAsia="en-US" w:bidi="ar-SA"/>
      </w:rPr>
    </w:lvl>
    <w:lvl w:ilvl="3" w:tplc="16809B6E">
      <w:numFmt w:val="bullet"/>
      <w:lvlText w:val="•"/>
      <w:lvlJc w:val="left"/>
      <w:pPr>
        <w:ind w:left="3398" w:hanging="715"/>
      </w:pPr>
      <w:rPr>
        <w:rFonts w:hint="default"/>
        <w:lang w:val="uk-UA" w:eastAsia="en-US" w:bidi="ar-SA"/>
      </w:rPr>
    </w:lvl>
    <w:lvl w:ilvl="4" w:tplc="3C6E9BC8">
      <w:numFmt w:val="bullet"/>
      <w:lvlText w:val="•"/>
      <w:lvlJc w:val="left"/>
      <w:pPr>
        <w:ind w:left="4327" w:hanging="715"/>
      </w:pPr>
      <w:rPr>
        <w:rFonts w:hint="default"/>
        <w:lang w:val="uk-UA" w:eastAsia="en-US" w:bidi="ar-SA"/>
      </w:rPr>
    </w:lvl>
    <w:lvl w:ilvl="5" w:tplc="B5D2DBF8">
      <w:numFmt w:val="bullet"/>
      <w:lvlText w:val="•"/>
      <w:lvlJc w:val="left"/>
      <w:pPr>
        <w:ind w:left="5256" w:hanging="715"/>
      </w:pPr>
      <w:rPr>
        <w:rFonts w:hint="default"/>
        <w:lang w:val="uk-UA" w:eastAsia="en-US" w:bidi="ar-SA"/>
      </w:rPr>
    </w:lvl>
    <w:lvl w:ilvl="6" w:tplc="7980AF6A">
      <w:numFmt w:val="bullet"/>
      <w:lvlText w:val="•"/>
      <w:lvlJc w:val="left"/>
      <w:pPr>
        <w:ind w:left="6185" w:hanging="715"/>
      </w:pPr>
      <w:rPr>
        <w:rFonts w:hint="default"/>
        <w:lang w:val="uk-UA" w:eastAsia="en-US" w:bidi="ar-SA"/>
      </w:rPr>
    </w:lvl>
    <w:lvl w:ilvl="7" w:tplc="1FAC72F0">
      <w:numFmt w:val="bullet"/>
      <w:lvlText w:val="•"/>
      <w:lvlJc w:val="left"/>
      <w:pPr>
        <w:ind w:left="7114" w:hanging="715"/>
      </w:pPr>
      <w:rPr>
        <w:rFonts w:hint="default"/>
        <w:lang w:val="uk-UA" w:eastAsia="en-US" w:bidi="ar-SA"/>
      </w:rPr>
    </w:lvl>
    <w:lvl w:ilvl="8" w:tplc="CCB25A60">
      <w:numFmt w:val="bullet"/>
      <w:lvlText w:val="•"/>
      <w:lvlJc w:val="left"/>
      <w:pPr>
        <w:ind w:left="8043" w:hanging="715"/>
      </w:pPr>
      <w:rPr>
        <w:rFonts w:hint="default"/>
        <w:lang w:val="uk-UA" w:eastAsia="en-US" w:bidi="ar-SA"/>
      </w:rPr>
    </w:lvl>
  </w:abstractNum>
  <w:num w:numId="1" w16cid:durableId="912664670">
    <w:abstractNumId w:val="1"/>
  </w:num>
  <w:num w:numId="2" w16cid:durableId="78611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38"/>
    <w:rsid w:val="001D1FC7"/>
    <w:rsid w:val="0024584C"/>
    <w:rsid w:val="00262408"/>
    <w:rsid w:val="002B3994"/>
    <w:rsid w:val="003149CF"/>
    <w:rsid w:val="00527DD9"/>
    <w:rsid w:val="005C40D3"/>
    <w:rsid w:val="00630FC7"/>
    <w:rsid w:val="006D6E9A"/>
    <w:rsid w:val="007C72B5"/>
    <w:rsid w:val="00847A75"/>
    <w:rsid w:val="008E0B86"/>
    <w:rsid w:val="00917338"/>
    <w:rsid w:val="00981A83"/>
    <w:rsid w:val="00B67810"/>
    <w:rsid w:val="00C533FC"/>
    <w:rsid w:val="00C652B3"/>
    <w:rsid w:val="00C92566"/>
    <w:rsid w:val="00DB272D"/>
    <w:rsid w:val="00E55755"/>
    <w:rsid w:val="00F3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FECC"/>
  <w15:chartTrackingRefBased/>
  <w15:docId w15:val="{E4E6B8A9-B7DA-4645-97CB-C7B302B0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2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7C72B5"/>
    <w:pPr>
      <w:widowControl w:val="0"/>
      <w:autoSpaceDE w:val="0"/>
      <w:autoSpaceDN w:val="0"/>
      <w:spacing w:before="1" w:after="0" w:line="252" w:lineRule="exact"/>
      <w:ind w:left="138"/>
      <w:outlineLvl w:val="0"/>
    </w:pPr>
    <w:rPr>
      <w:rFonts w:ascii="Times New Roman" w:eastAsia="Times New Roman" w:hAnsi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2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7C72B5"/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Body Text"/>
    <w:basedOn w:val="a"/>
    <w:link w:val="a5"/>
    <w:uiPriority w:val="1"/>
    <w:qFormat/>
    <w:rsid w:val="007C72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5">
    <w:name w:val="Основний текст Знак"/>
    <w:basedOn w:val="a0"/>
    <w:link w:val="a4"/>
    <w:uiPriority w:val="1"/>
    <w:rsid w:val="007C72B5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7C72B5"/>
    <w:pPr>
      <w:widowControl w:val="0"/>
      <w:autoSpaceDE w:val="0"/>
      <w:autoSpaceDN w:val="0"/>
      <w:spacing w:after="0" w:line="252" w:lineRule="exact"/>
      <w:ind w:left="1537" w:hanging="715"/>
    </w:pPr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1D1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D1F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2573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Vololovtseva.Natalya</dc:creator>
  <cp:keywords/>
  <dc:description/>
  <cp:lastModifiedBy>Управління Фінансів</cp:lastModifiedBy>
  <cp:revision>17</cp:revision>
  <cp:lastPrinted>2023-01-17T13:48:00Z</cp:lastPrinted>
  <dcterms:created xsi:type="dcterms:W3CDTF">2023-01-17T12:13:00Z</dcterms:created>
  <dcterms:modified xsi:type="dcterms:W3CDTF">2024-01-23T08:39:00Z</dcterms:modified>
</cp:coreProperties>
</file>