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CBB" w:rsidRPr="00760CBB" w:rsidRDefault="00760CBB" w:rsidP="00760CBB">
      <w:pPr>
        <w:shd w:val="clear" w:color="auto" w:fill="FFFFFF"/>
        <w:spacing w:after="0"/>
        <w:jc w:val="center"/>
        <w:rPr>
          <w:rFonts w:eastAsia="Times New Roman" w:cs="Times New Roman"/>
          <w:b/>
          <w:sz w:val="24"/>
          <w:szCs w:val="24"/>
          <w:highlight w:val="yellow"/>
        </w:rPr>
      </w:pPr>
    </w:p>
    <w:p w:rsidR="000F31B5" w:rsidRPr="000F31B5" w:rsidRDefault="000F31B5" w:rsidP="000F31B5">
      <w:pPr>
        <w:spacing w:after="0"/>
        <w:ind w:firstLine="567"/>
        <w:jc w:val="center"/>
        <w:rPr>
          <w:b/>
          <w:i/>
          <w:sz w:val="24"/>
          <w:szCs w:val="24"/>
        </w:rPr>
      </w:pPr>
      <w:bookmarkStart w:id="0" w:name="_Hlk156307044"/>
      <w:r w:rsidRPr="000F31B5">
        <w:rPr>
          <w:b/>
          <w:i/>
          <w:sz w:val="24"/>
          <w:szCs w:val="24"/>
        </w:rPr>
        <w:t xml:space="preserve">ОБҐРУНТУВАННЯ </w:t>
      </w:r>
    </w:p>
    <w:p w:rsidR="000F31B5" w:rsidRPr="000F31B5" w:rsidRDefault="000F31B5" w:rsidP="000F31B5">
      <w:pPr>
        <w:spacing w:after="0"/>
        <w:ind w:firstLine="567"/>
        <w:jc w:val="center"/>
        <w:rPr>
          <w:b/>
          <w:i/>
          <w:sz w:val="24"/>
          <w:szCs w:val="24"/>
        </w:rPr>
      </w:pPr>
      <w:r w:rsidRPr="000F31B5">
        <w:rPr>
          <w:b/>
          <w:i/>
          <w:sz w:val="24"/>
          <w:szCs w:val="24"/>
        </w:rPr>
        <w:t>технічних та якісних характеристик предмета закупівлі, розміру бюджетного призначення, очікуваної вартості предмета закупівлі</w:t>
      </w:r>
    </w:p>
    <w:p w:rsidR="000F31B5" w:rsidRDefault="000F31B5" w:rsidP="000F31B5">
      <w:pPr>
        <w:spacing w:after="0"/>
        <w:ind w:firstLine="567"/>
        <w:jc w:val="center"/>
        <w:rPr>
          <w:b/>
          <w:i/>
          <w:sz w:val="24"/>
          <w:szCs w:val="24"/>
        </w:rPr>
      </w:pPr>
      <w:r w:rsidRPr="000F31B5">
        <w:rPr>
          <w:b/>
          <w:i/>
          <w:sz w:val="24"/>
          <w:szCs w:val="24"/>
        </w:rPr>
        <w:t>( на виконання постанови КМУ від 11.10.2016 № 710 «Про ефективне використання державних коштів» (зі змінами))</w:t>
      </w:r>
    </w:p>
    <w:p w:rsidR="000F31B5" w:rsidRPr="009B0912" w:rsidRDefault="000F31B5" w:rsidP="000F31B5">
      <w:pPr>
        <w:spacing w:after="0"/>
        <w:ind w:firstLine="567"/>
        <w:jc w:val="center"/>
        <w:rPr>
          <w:b/>
          <w:i/>
          <w:sz w:val="16"/>
          <w:szCs w:val="16"/>
        </w:rPr>
      </w:pPr>
    </w:p>
    <w:bookmarkEnd w:id="0"/>
    <w:p w:rsidR="009B0912" w:rsidRDefault="00571F50" w:rsidP="00571F50">
      <w:pPr>
        <w:spacing w:after="0"/>
        <w:ind w:firstLine="567"/>
        <w:jc w:val="center"/>
        <w:rPr>
          <w:b/>
          <w:i/>
          <w:sz w:val="24"/>
          <w:szCs w:val="24"/>
        </w:rPr>
      </w:pPr>
      <w:r w:rsidRPr="00571F50">
        <w:rPr>
          <w:b/>
          <w:i/>
          <w:sz w:val="24"/>
          <w:szCs w:val="24"/>
        </w:rPr>
        <w:t>«Послуги з вивезення твердих побутових відходів, що утворилися внаслідок збору випадкового сміття, очистки урн, підмітання доріжок на території парків, лісопарків, скверів та зелених зон Залізничного району  Львівської міської територіальної громади код ДК 021:2015 «Єдиний закупівельний словник» 90510000-5 Утилізація сміття та поводження зі сміттям»</w:t>
      </w:r>
    </w:p>
    <w:p w:rsidR="00571F50" w:rsidRDefault="00571F50" w:rsidP="000F31B5">
      <w:pPr>
        <w:spacing w:after="0"/>
        <w:ind w:firstLine="567"/>
        <w:jc w:val="both"/>
        <w:rPr>
          <w:b/>
          <w:i/>
          <w:sz w:val="24"/>
          <w:szCs w:val="24"/>
        </w:rPr>
      </w:pPr>
    </w:p>
    <w:p w:rsidR="000F31B5" w:rsidRPr="00061075" w:rsidRDefault="000F31B5" w:rsidP="000F31B5">
      <w:pPr>
        <w:spacing w:after="0"/>
        <w:ind w:firstLine="567"/>
        <w:jc w:val="both"/>
        <w:rPr>
          <w:rFonts w:cs="Times New Roman"/>
        </w:rPr>
      </w:pPr>
      <w:r>
        <w:rPr>
          <w:rFonts w:cs="Times New Roman"/>
        </w:rPr>
        <w:t>На виконання постанови КМУ</w:t>
      </w:r>
      <w:r w:rsidRPr="00B33343">
        <w:rPr>
          <w:rFonts w:cs="Times New Roman"/>
        </w:rPr>
        <w:t xml:space="preserve"> </w:t>
      </w:r>
      <w:r>
        <w:rPr>
          <w:rFonts w:cs="Times New Roman"/>
        </w:rPr>
        <w:t>від 11 жовтня 2016 р. № 710 «</w:t>
      </w:r>
      <w:r w:rsidRPr="00B33343">
        <w:rPr>
          <w:rFonts w:cs="Times New Roman"/>
        </w:rPr>
        <w:t>Про ефективне використання державних коштів</w:t>
      </w:r>
      <w:r>
        <w:rPr>
          <w:rFonts w:cs="Times New Roman"/>
        </w:rPr>
        <w:t xml:space="preserve">» у зв’язку із необхідністю проведення закупівлі </w:t>
      </w:r>
      <w:r w:rsidR="009B0912" w:rsidRPr="009B0912">
        <w:rPr>
          <w:rFonts w:cs="Times New Roman"/>
        </w:rPr>
        <w:t xml:space="preserve">«Послуги з вивезення твердих побутових відходів, що утворилися внаслідок збору випадкового сміття, очистки урн, підмітання доріжок на території парків, лісопарків та зелених зон, які перебувають на утриманні Замовника» код ДК 021:2015 «Єдиний закупівельний словник» 90510000-5 Утилізація сміття та поводження зі сміттям» </w:t>
      </w:r>
      <w:r w:rsidRPr="005E523E">
        <w:rPr>
          <w:rFonts w:cs="Times New Roman"/>
        </w:rPr>
        <w:t xml:space="preserve"> </w:t>
      </w:r>
      <w:r w:rsidRPr="00EE1700">
        <w:rPr>
          <w:rFonts w:cs="Times New Roman"/>
        </w:rPr>
        <w:t xml:space="preserve">для потреб </w:t>
      </w:r>
      <w:proofErr w:type="spellStart"/>
      <w:r w:rsidRPr="000F31B5">
        <w:rPr>
          <w:rFonts w:cs="Times New Roman"/>
        </w:rPr>
        <w:t>Дочірн</w:t>
      </w:r>
      <w:r>
        <w:rPr>
          <w:rFonts w:cs="Times New Roman"/>
        </w:rPr>
        <w:t>ого</w:t>
      </w:r>
      <w:proofErr w:type="spellEnd"/>
      <w:r w:rsidRPr="000F31B5">
        <w:rPr>
          <w:rFonts w:cs="Times New Roman"/>
        </w:rPr>
        <w:t xml:space="preserve"> підприємств</w:t>
      </w:r>
      <w:r>
        <w:rPr>
          <w:rFonts w:cs="Times New Roman"/>
        </w:rPr>
        <w:t>а</w:t>
      </w:r>
      <w:r w:rsidRPr="000F31B5">
        <w:rPr>
          <w:rFonts w:cs="Times New Roman"/>
        </w:rPr>
        <w:t xml:space="preserve"> «Скнилів -парк» </w:t>
      </w:r>
      <w:r>
        <w:rPr>
          <w:rFonts w:cs="Times New Roman"/>
        </w:rPr>
        <w:t xml:space="preserve"> </w:t>
      </w:r>
      <w:r w:rsidRPr="000F31B5">
        <w:rPr>
          <w:rFonts w:cs="Times New Roman"/>
        </w:rPr>
        <w:t>Львівського комунального підприємства «Зелений Львів»</w:t>
      </w:r>
      <w:r>
        <w:rPr>
          <w:rFonts w:cs="Times New Roman"/>
        </w:rPr>
        <w:t xml:space="preserve"> (далі - </w:t>
      </w:r>
      <w:r w:rsidRPr="000F31B5">
        <w:rPr>
          <w:rFonts w:cs="Times New Roman"/>
        </w:rPr>
        <w:t>ДП «Скнилів-парк»</w:t>
      </w:r>
      <w:r>
        <w:rPr>
          <w:rFonts w:cs="Times New Roman"/>
        </w:rPr>
        <w:t xml:space="preserve">) </w:t>
      </w:r>
      <w:r w:rsidRPr="00B33343">
        <w:rPr>
          <w:rFonts w:cs="Times New Roman"/>
        </w:rPr>
        <w:t xml:space="preserve">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w:t>
      </w:r>
      <w:r>
        <w:rPr>
          <w:rFonts w:cs="Times New Roman"/>
        </w:rPr>
        <w:t xml:space="preserve">разом з оголошенням через відсутність на час оголошення закупівлі </w:t>
      </w:r>
      <w:r w:rsidRPr="00B33343">
        <w:rPr>
          <w:rFonts w:cs="Times New Roman"/>
        </w:rPr>
        <w:t>власно</w:t>
      </w:r>
      <w:r>
        <w:rPr>
          <w:rFonts w:cs="Times New Roman"/>
        </w:rPr>
        <w:t>го</w:t>
      </w:r>
      <w:r w:rsidRPr="00B33343">
        <w:rPr>
          <w:rFonts w:cs="Times New Roman"/>
        </w:rPr>
        <w:t xml:space="preserve"> веб-сайт</w:t>
      </w:r>
      <w:r>
        <w:rPr>
          <w:rFonts w:cs="Times New Roman"/>
        </w:rPr>
        <w:t>у.</w:t>
      </w:r>
    </w:p>
    <w:p w:rsidR="000F31B5" w:rsidRDefault="000F31B5" w:rsidP="000F31B5">
      <w:pPr>
        <w:spacing w:after="0"/>
        <w:jc w:val="both"/>
        <w:rPr>
          <w:rFonts w:cs="Times New Roman"/>
          <w:b/>
          <w:i/>
        </w:rPr>
      </w:pPr>
      <w:r>
        <w:rPr>
          <w:rFonts w:cs="Times New Roman"/>
          <w:b/>
          <w:i/>
        </w:rPr>
        <w:t xml:space="preserve">1. </w:t>
      </w:r>
      <w:r w:rsidRPr="00B33343">
        <w:rPr>
          <w:rFonts w:cs="Times New Roman"/>
          <w:b/>
          <w:i/>
        </w:rPr>
        <w:t>Назва предмета закупівлі із зазначенням коду за Єдиним закупівельним словником</w:t>
      </w:r>
      <w:r>
        <w:rPr>
          <w:rFonts w:cs="Times New Roman"/>
          <w:b/>
          <w:i/>
        </w:rPr>
        <w:t>:</w:t>
      </w:r>
    </w:p>
    <w:p w:rsidR="000F31B5" w:rsidRDefault="000F31B5" w:rsidP="000F31B5">
      <w:pPr>
        <w:spacing w:after="0"/>
        <w:jc w:val="both"/>
        <w:rPr>
          <w:rFonts w:cs="Times New Roman"/>
          <w:i/>
        </w:rPr>
      </w:pPr>
      <w:r w:rsidRPr="00FC58C8">
        <w:rPr>
          <w:rFonts w:cs="Times New Roman"/>
        </w:rPr>
        <w:t xml:space="preserve">- </w:t>
      </w:r>
      <w:r w:rsidR="00571F50" w:rsidRPr="00571F50">
        <w:rPr>
          <w:rFonts w:cs="Times New Roman"/>
          <w:i/>
        </w:rPr>
        <w:t>«Послуги з вивезення твердих побутових відходів, що утворилися внаслідок збору випадкового сміття, очистки урн, підмітання доріжок на території парків, лісопарків, скверів та зелених зон Залізничного району  Львівської міської територіальної громади код ДК 021:2015 «Єдиний закупівельний словник» 90510000-5 Утилізація сміття та поводження зі сміттям»</w:t>
      </w:r>
    </w:p>
    <w:p w:rsidR="00571F50" w:rsidRPr="00FC58C8" w:rsidRDefault="00571F50" w:rsidP="000F31B5">
      <w:pPr>
        <w:spacing w:after="0"/>
        <w:jc w:val="both"/>
        <w:rPr>
          <w:rFonts w:cs="Times New Roman"/>
        </w:rPr>
      </w:pPr>
    </w:p>
    <w:p w:rsidR="000F31B5" w:rsidRPr="00041F96" w:rsidRDefault="000F31B5" w:rsidP="000F31B5">
      <w:pPr>
        <w:spacing w:after="0"/>
        <w:jc w:val="both"/>
        <w:rPr>
          <w:rFonts w:cs="Times New Roman"/>
          <w:b/>
          <w:i/>
        </w:rPr>
      </w:pPr>
      <w:r>
        <w:rPr>
          <w:rFonts w:cs="Times New Roman"/>
          <w:b/>
          <w:i/>
        </w:rPr>
        <w:t>2. О</w:t>
      </w:r>
      <w:r w:rsidRPr="00B33343">
        <w:rPr>
          <w:rFonts w:cs="Times New Roman"/>
          <w:b/>
          <w:i/>
        </w:rPr>
        <w:t>бґрунтування технічних та якісних характеристик предмета закупівлі</w:t>
      </w:r>
      <w:r>
        <w:rPr>
          <w:rFonts w:cs="Times New Roman"/>
          <w:b/>
          <w:i/>
        </w:rPr>
        <w:t>:</w:t>
      </w:r>
    </w:p>
    <w:p w:rsidR="000F31B5" w:rsidRDefault="000F31B5" w:rsidP="000F31B5">
      <w:pPr>
        <w:spacing w:after="0"/>
        <w:ind w:firstLine="567"/>
        <w:jc w:val="both"/>
        <w:rPr>
          <w:rFonts w:cs="Times New Roman"/>
        </w:rPr>
      </w:pPr>
    </w:p>
    <w:p w:rsidR="009B0912" w:rsidRDefault="000F31B5" w:rsidP="000F31B5">
      <w:pPr>
        <w:spacing w:after="0"/>
        <w:ind w:firstLine="567"/>
        <w:jc w:val="both"/>
        <w:rPr>
          <w:rFonts w:cs="Times New Roman"/>
        </w:rPr>
      </w:pPr>
      <w:r>
        <w:rPr>
          <w:rFonts w:cs="Times New Roman"/>
        </w:rPr>
        <w:t xml:space="preserve">Для забезпечення здійснення господарської діяльності, на виконання ухвали </w:t>
      </w:r>
      <w:r w:rsidR="00C97648">
        <w:rPr>
          <w:rFonts w:cs="Times New Roman"/>
        </w:rPr>
        <w:t xml:space="preserve">Львівської міської ради № 3991 від 02.11.2023 «Про затвердження Програми комплексного розвитку та утримання парків, лісопарків, скверів і зелених зон Львівської міської територіальної громади на 2024-2028 роки», ухвали Львівської міської ради №4185 від 27.12.2023 року «Про надання </w:t>
      </w:r>
      <w:proofErr w:type="spellStart"/>
      <w:r w:rsidR="00C97648">
        <w:rPr>
          <w:rFonts w:cs="Times New Roman"/>
        </w:rPr>
        <w:t>дочірним</w:t>
      </w:r>
      <w:proofErr w:type="spellEnd"/>
      <w:r w:rsidR="00C97648">
        <w:rPr>
          <w:rFonts w:cs="Times New Roman"/>
        </w:rPr>
        <w:t xml:space="preserve"> підприємствам ЛКП «Зелений Львів» земельних ділянок у постійне користування для збереження та використання парків»</w:t>
      </w:r>
      <w:r w:rsidR="00870833">
        <w:rPr>
          <w:rFonts w:cs="Times New Roman"/>
        </w:rPr>
        <w:t xml:space="preserve">, для належного утримання об’єктів зеленого господарства необхідно здійснити закупівлю </w:t>
      </w:r>
      <w:r w:rsidR="009B0912">
        <w:rPr>
          <w:rFonts w:cs="Times New Roman"/>
        </w:rPr>
        <w:t xml:space="preserve">послуг </w:t>
      </w:r>
      <w:r w:rsidR="009B0912" w:rsidRPr="009B0912">
        <w:rPr>
          <w:rFonts w:cs="Times New Roman"/>
        </w:rPr>
        <w:t>з вивезення твердих побутових відходів, що утворилися внаслідок збору випадкового сміття, очистки урн, підмітання доріжок на території парків, лісопарків</w:t>
      </w:r>
      <w:r w:rsidR="00571F50">
        <w:rPr>
          <w:rFonts w:cs="Times New Roman"/>
        </w:rPr>
        <w:t>, сквер</w:t>
      </w:r>
      <w:r w:rsidR="009B0912" w:rsidRPr="009B0912">
        <w:rPr>
          <w:rFonts w:cs="Times New Roman"/>
        </w:rPr>
        <w:t xml:space="preserve"> та зелених зон</w:t>
      </w:r>
      <w:r w:rsidR="00571F50">
        <w:rPr>
          <w:rFonts w:cs="Times New Roman"/>
        </w:rPr>
        <w:t xml:space="preserve"> Залізничного району Львівської міської територіальної громади</w:t>
      </w:r>
      <w:r w:rsidR="009B0912" w:rsidRPr="009B0912">
        <w:rPr>
          <w:rFonts w:cs="Times New Roman"/>
        </w:rPr>
        <w:t>, які перебувають на утриманні Замовника</w:t>
      </w:r>
    </w:p>
    <w:p w:rsidR="000F31B5" w:rsidRDefault="000F31B5" w:rsidP="000F31B5">
      <w:pPr>
        <w:spacing w:after="0"/>
        <w:ind w:firstLine="567"/>
        <w:jc w:val="both"/>
        <w:rPr>
          <w:rFonts w:cs="Times New Roman"/>
        </w:rPr>
      </w:pPr>
      <w:r w:rsidRPr="00041F96">
        <w:rPr>
          <w:rFonts w:cs="Times New Roman"/>
        </w:rPr>
        <w:t>І</w:t>
      </w:r>
      <w:r>
        <w:rPr>
          <w:rFonts w:cs="Times New Roman"/>
        </w:rPr>
        <w:t>нформація</w:t>
      </w:r>
      <w:r w:rsidRPr="00041F96">
        <w:rPr>
          <w:rFonts w:cs="Times New Roman"/>
        </w:rPr>
        <w:t xml:space="preserve"> про необхідні технічні, якісні та кількісні ха</w:t>
      </w:r>
      <w:r>
        <w:rPr>
          <w:rFonts w:cs="Times New Roman"/>
        </w:rPr>
        <w:t xml:space="preserve">рактеристики предмета закупівлі </w:t>
      </w:r>
      <w:r w:rsidRPr="00041F96">
        <w:rPr>
          <w:rFonts w:cs="Times New Roman"/>
        </w:rPr>
        <w:t>(Технічна специфікація)</w:t>
      </w:r>
      <w:r>
        <w:rPr>
          <w:rFonts w:cs="Times New Roman"/>
        </w:rPr>
        <w:t xml:space="preserve"> (розрахунок пропозиції) міститься в додатку </w:t>
      </w:r>
      <w:r w:rsidRPr="00300F04">
        <w:rPr>
          <w:rFonts w:cs="Times New Roman"/>
        </w:rPr>
        <w:t xml:space="preserve">№ </w:t>
      </w:r>
      <w:r w:rsidR="00870833">
        <w:rPr>
          <w:rFonts w:cs="Times New Roman"/>
        </w:rPr>
        <w:t>2</w:t>
      </w:r>
      <w:r w:rsidRPr="00300F04">
        <w:rPr>
          <w:rFonts w:cs="Times New Roman"/>
        </w:rPr>
        <w:t xml:space="preserve"> до тендерної документації на закупівлю</w:t>
      </w:r>
      <w:r>
        <w:rPr>
          <w:rFonts w:cs="Times New Roman"/>
        </w:rPr>
        <w:t xml:space="preserve"> </w:t>
      </w:r>
      <w:r w:rsidR="00571F50" w:rsidRPr="00571F50">
        <w:rPr>
          <w:rFonts w:cs="Times New Roman"/>
          <w:i/>
        </w:rPr>
        <w:t>«Послуги з вивезення твердих побутових відходів, що утворилися внаслідок збору випадкового сміття, очистки урн, підмітання доріжок на території парків, лісопарків, скверів та зелених зон Залізничного району  Львівської міської територіальної громади код ДК 021:2015 «Єдиний закупівельний словник» 90510000-5 Утилізація сміття та поводження зі сміттям»</w:t>
      </w:r>
      <w:r w:rsidR="00571F50">
        <w:rPr>
          <w:rFonts w:cs="Times New Roman"/>
          <w:i/>
        </w:rPr>
        <w:t xml:space="preserve">, </w:t>
      </w:r>
      <w:r w:rsidR="00E20F93" w:rsidRPr="009B0912">
        <w:rPr>
          <w:rFonts w:cs="Times New Roman"/>
        </w:rPr>
        <w:t xml:space="preserve"> </w:t>
      </w:r>
      <w:r w:rsidR="00870833">
        <w:rPr>
          <w:rFonts w:cs="Times New Roman"/>
        </w:rPr>
        <w:t>який</w:t>
      </w:r>
      <w:r>
        <w:rPr>
          <w:rFonts w:cs="Times New Roman"/>
        </w:rPr>
        <w:t xml:space="preserve"> оприлюднено на веб-порталі Уповноваженого органу (</w:t>
      </w:r>
      <w:hyperlink r:id="rId6" w:history="1">
        <w:r w:rsidRPr="009A7D20">
          <w:rPr>
            <w:rStyle w:val="a4"/>
            <w:rFonts w:eastAsia="SimSun"/>
          </w:rPr>
          <w:t>https://prozorro.gov.ua</w:t>
        </w:r>
      </w:hyperlink>
      <w:r>
        <w:rPr>
          <w:rFonts w:cs="Times New Roman"/>
        </w:rPr>
        <w:t>).</w:t>
      </w:r>
    </w:p>
    <w:p w:rsidR="00C020F5" w:rsidRDefault="00C020F5" w:rsidP="000F31B5">
      <w:pPr>
        <w:spacing w:after="0"/>
        <w:ind w:firstLine="567"/>
        <w:jc w:val="both"/>
        <w:rPr>
          <w:rFonts w:cs="Times New Roman"/>
        </w:rPr>
      </w:pPr>
    </w:p>
    <w:tbl>
      <w:tblPr>
        <w:tblStyle w:val="a6"/>
        <w:tblW w:w="9923" w:type="dxa"/>
        <w:tblInd w:w="-147" w:type="dxa"/>
        <w:tblLayout w:type="fixed"/>
        <w:tblLook w:val="04A0" w:firstRow="1" w:lastRow="0" w:firstColumn="1" w:lastColumn="0" w:noHBand="0" w:noVBand="1"/>
      </w:tblPr>
      <w:tblGrid>
        <w:gridCol w:w="523"/>
        <w:gridCol w:w="2454"/>
        <w:gridCol w:w="1418"/>
        <w:gridCol w:w="1417"/>
        <w:gridCol w:w="567"/>
        <w:gridCol w:w="567"/>
        <w:gridCol w:w="567"/>
        <w:gridCol w:w="567"/>
        <w:gridCol w:w="567"/>
        <w:gridCol w:w="709"/>
        <w:gridCol w:w="567"/>
      </w:tblGrid>
      <w:tr w:rsidR="00C020F5" w:rsidRPr="00915D0A" w:rsidTr="00F77EF0">
        <w:trPr>
          <w:trHeight w:val="758"/>
        </w:trPr>
        <w:tc>
          <w:tcPr>
            <w:tcW w:w="523" w:type="dxa"/>
            <w:vMerge w:val="restart"/>
          </w:tcPr>
          <w:p w:rsidR="00C020F5" w:rsidRPr="00915D0A" w:rsidRDefault="00C020F5" w:rsidP="00F77EF0">
            <w:pPr>
              <w:spacing w:before="250"/>
              <w:jc w:val="center"/>
              <w:rPr>
                <w:b/>
                <w:bCs/>
                <w:lang w:eastAsia="ru-RU"/>
              </w:rPr>
            </w:pPr>
            <w:r w:rsidRPr="00915D0A">
              <w:rPr>
                <w:b/>
                <w:bCs/>
                <w:lang w:eastAsia="ru-RU"/>
              </w:rPr>
              <w:t>№</w:t>
            </w:r>
          </w:p>
          <w:p w:rsidR="00C020F5" w:rsidRPr="00915D0A" w:rsidRDefault="00C020F5" w:rsidP="00F77EF0">
            <w:pPr>
              <w:spacing w:before="250"/>
              <w:jc w:val="center"/>
              <w:rPr>
                <w:b/>
                <w:bCs/>
                <w:lang w:eastAsia="ru-RU"/>
              </w:rPr>
            </w:pPr>
            <w:r w:rsidRPr="00915D0A">
              <w:rPr>
                <w:b/>
                <w:bCs/>
                <w:lang w:eastAsia="ru-RU"/>
              </w:rPr>
              <w:t>1/1</w:t>
            </w:r>
          </w:p>
        </w:tc>
        <w:tc>
          <w:tcPr>
            <w:tcW w:w="2454" w:type="dxa"/>
            <w:vMerge w:val="restart"/>
          </w:tcPr>
          <w:p w:rsidR="00C020F5" w:rsidRPr="00915D0A" w:rsidRDefault="00C020F5" w:rsidP="00F77EF0">
            <w:pPr>
              <w:spacing w:before="250"/>
              <w:jc w:val="center"/>
              <w:rPr>
                <w:b/>
                <w:bCs/>
                <w:lang w:eastAsia="ru-RU"/>
              </w:rPr>
            </w:pPr>
            <w:r w:rsidRPr="00915D0A">
              <w:rPr>
                <w:b/>
                <w:bCs/>
                <w:lang w:eastAsia="ru-RU"/>
              </w:rPr>
              <w:t>Адреси замовника</w:t>
            </w:r>
          </w:p>
        </w:tc>
        <w:tc>
          <w:tcPr>
            <w:tcW w:w="1418" w:type="dxa"/>
            <w:vMerge w:val="restart"/>
          </w:tcPr>
          <w:p w:rsidR="00C020F5" w:rsidRPr="00915D0A" w:rsidRDefault="00C020F5" w:rsidP="00F77EF0">
            <w:pPr>
              <w:spacing w:before="250"/>
              <w:jc w:val="center"/>
              <w:rPr>
                <w:b/>
                <w:bCs/>
                <w:lang w:eastAsia="ru-RU"/>
              </w:rPr>
            </w:pPr>
            <w:r w:rsidRPr="00915D0A">
              <w:rPr>
                <w:b/>
                <w:bCs/>
                <w:lang w:eastAsia="ru-RU"/>
              </w:rPr>
              <w:t>Кількість контейнерів</w:t>
            </w:r>
          </w:p>
        </w:tc>
        <w:tc>
          <w:tcPr>
            <w:tcW w:w="1417" w:type="dxa"/>
            <w:vMerge w:val="restart"/>
          </w:tcPr>
          <w:p w:rsidR="00C020F5" w:rsidRPr="00915D0A" w:rsidRDefault="00C020F5" w:rsidP="00F77EF0">
            <w:pPr>
              <w:jc w:val="center"/>
              <w:rPr>
                <w:b/>
                <w:bCs/>
                <w:lang w:eastAsia="ru-RU"/>
              </w:rPr>
            </w:pPr>
            <w:r w:rsidRPr="00915D0A">
              <w:rPr>
                <w:b/>
                <w:bCs/>
                <w:lang w:eastAsia="ru-RU"/>
              </w:rPr>
              <w:t>Об’єм контейнерів</w:t>
            </w:r>
          </w:p>
          <w:p w:rsidR="00C020F5" w:rsidRPr="00915D0A" w:rsidRDefault="00C020F5" w:rsidP="00F77EF0">
            <w:pPr>
              <w:rPr>
                <w:b/>
                <w:bCs/>
                <w:lang w:eastAsia="ru-RU"/>
              </w:rPr>
            </w:pPr>
            <w:r w:rsidRPr="00915D0A">
              <w:rPr>
                <w:b/>
                <w:bCs/>
                <w:lang w:eastAsia="ru-RU"/>
              </w:rPr>
              <w:t xml:space="preserve">     м. куб.</w:t>
            </w:r>
          </w:p>
        </w:tc>
        <w:tc>
          <w:tcPr>
            <w:tcW w:w="4111" w:type="dxa"/>
            <w:gridSpan w:val="7"/>
          </w:tcPr>
          <w:p w:rsidR="00C020F5" w:rsidRPr="00915D0A" w:rsidRDefault="00C020F5" w:rsidP="00F77EF0">
            <w:pPr>
              <w:spacing w:before="250"/>
              <w:jc w:val="center"/>
              <w:rPr>
                <w:b/>
                <w:bCs/>
                <w:lang w:eastAsia="ru-RU"/>
              </w:rPr>
            </w:pPr>
            <w:r w:rsidRPr="00915D0A">
              <w:rPr>
                <w:b/>
                <w:bCs/>
                <w:lang w:eastAsia="ru-RU"/>
              </w:rPr>
              <w:t>Графік вивозу</w:t>
            </w:r>
          </w:p>
        </w:tc>
      </w:tr>
      <w:tr w:rsidR="00C020F5" w:rsidRPr="00915D0A" w:rsidTr="00F77EF0">
        <w:trPr>
          <w:trHeight w:val="757"/>
        </w:trPr>
        <w:tc>
          <w:tcPr>
            <w:tcW w:w="523" w:type="dxa"/>
            <w:vMerge/>
          </w:tcPr>
          <w:p w:rsidR="00C020F5" w:rsidRPr="00915D0A" w:rsidRDefault="00C020F5" w:rsidP="00F77EF0">
            <w:pPr>
              <w:spacing w:before="250"/>
              <w:jc w:val="center"/>
              <w:rPr>
                <w:b/>
                <w:bCs/>
                <w:lang w:eastAsia="ru-RU"/>
              </w:rPr>
            </w:pPr>
          </w:p>
        </w:tc>
        <w:tc>
          <w:tcPr>
            <w:tcW w:w="2454" w:type="dxa"/>
            <w:vMerge/>
          </w:tcPr>
          <w:p w:rsidR="00C020F5" w:rsidRPr="00915D0A" w:rsidRDefault="00C020F5" w:rsidP="00F77EF0">
            <w:pPr>
              <w:spacing w:before="250"/>
              <w:jc w:val="center"/>
              <w:rPr>
                <w:b/>
                <w:bCs/>
                <w:lang w:eastAsia="ru-RU"/>
              </w:rPr>
            </w:pPr>
          </w:p>
        </w:tc>
        <w:tc>
          <w:tcPr>
            <w:tcW w:w="1418" w:type="dxa"/>
            <w:vMerge/>
          </w:tcPr>
          <w:p w:rsidR="00C020F5" w:rsidRPr="00915D0A" w:rsidRDefault="00C020F5" w:rsidP="00F77EF0">
            <w:pPr>
              <w:spacing w:before="250"/>
              <w:jc w:val="center"/>
              <w:rPr>
                <w:b/>
                <w:bCs/>
                <w:lang w:eastAsia="ru-RU"/>
              </w:rPr>
            </w:pPr>
          </w:p>
        </w:tc>
        <w:tc>
          <w:tcPr>
            <w:tcW w:w="1417" w:type="dxa"/>
            <w:vMerge/>
          </w:tcPr>
          <w:p w:rsidR="00C020F5" w:rsidRPr="00915D0A" w:rsidRDefault="00C020F5" w:rsidP="00F77EF0">
            <w:pPr>
              <w:spacing w:before="250"/>
              <w:jc w:val="center"/>
              <w:rPr>
                <w:b/>
                <w:bCs/>
                <w:lang w:eastAsia="ru-RU"/>
              </w:rPr>
            </w:pPr>
          </w:p>
        </w:tc>
        <w:tc>
          <w:tcPr>
            <w:tcW w:w="567" w:type="dxa"/>
          </w:tcPr>
          <w:p w:rsidR="00C020F5" w:rsidRPr="00915D0A" w:rsidRDefault="00C020F5" w:rsidP="00F77EF0">
            <w:pPr>
              <w:spacing w:before="250"/>
              <w:jc w:val="center"/>
              <w:rPr>
                <w:b/>
                <w:bCs/>
                <w:lang w:eastAsia="ru-RU"/>
              </w:rPr>
            </w:pPr>
            <w:r>
              <w:rPr>
                <w:b/>
                <w:bCs/>
                <w:lang w:eastAsia="ru-RU"/>
              </w:rPr>
              <w:t>пн</w:t>
            </w:r>
          </w:p>
        </w:tc>
        <w:tc>
          <w:tcPr>
            <w:tcW w:w="567" w:type="dxa"/>
          </w:tcPr>
          <w:p w:rsidR="00C020F5" w:rsidRPr="00915D0A" w:rsidRDefault="00C020F5" w:rsidP="00F77EF0">
            <w:pPr>
              <w:spacing w:before="250"/>
              <w:jc w:val="center"/>
              <w:rPr>
                <w:b/>
                <w:bCs/>
                <w:lang w:eastAsia="ru-RU"/>
              </w:rPr>
            </w:pPr>
            <w:r>
              <w:rPr>
                <w:b/>
                <w:bCs/>
                <w:lang w:eastAsia="ru-RU"/>
              </w:rPr>
              <w:t>вт</w:t>
            </w:r>
          </w:p>
        </w:tc>
        <w:tc>
          <w:tcPr>
            <w:tcW w:w="567" w:type="dxa"/>
          </w:tcPr>
          <w:p w:rsidR="00C020F5" w:rsidRPr="00915D0A" w:rsidRDefault="00C020F5" w:rsidP="00F77EF0">
            <w:pPr>
              <w:spacing w:before="250"/>
              <w:jc w:val="center"/>
              <w:rPr>
                <w:b/>
                <w:bCs/>
                <w:lang w:eastAsia="ru-RU"/>
              </w:rPr>
            </w:pPr>
            <w:r>
              <w:rPr>
                <w:b/>
                <w:bCs/>
                <w:lang w:eastAsia="ru-RU"/>
              </w:rPr>
              <w:t>ср</w:t>
            </w:r>
          </w:p>
        </w:tc>
        <w:tc>
          <w:tcPr>
            <w:tcW w:w="567" w:type="dxa"/>
          </w:tcPr>
          <w:p w:rsidR="00C020F5" w:rsidRPr="00915D0A" w:rsidRDefault="00C020F5" w:rsidP="00F77EF0">
            <w:pPr>
              <w:spacing w:before="250"/>
              <w:jc w:val="center"/>
              <w:rPr>
                <w:b/>
                <w:bCs/>
                <w:lang w:eastAsia="ru-RU"/>
              </w:rPr>
            </w:pPr>
            <w:r>
              <w:rPr>
                <w:b/>
                <w:bCs/>
                <w:lang w:eastAsia="ru-RU"/>
              </w:rPr>
              <w:t>чт</w:t>
            </w:r>
          </w:p>
        </w:tc>
        <w:tc>
          <w:tcPr>
            <w:tcW w:w="567" w:type="dxa"/>
          </w:tcPr>
          <w:p w:rsidR="00C020F5" w:rsidRPr="00915D0A" w:rsidRDefault="00C020F5" w:rsidP="00F77EF0">
            <w:pPr>
              <w:spacing w:before="250"/>
              <w:jc w:val="center"/>
              <w:rPr>
                <w:b/>
                <w:bCs/>
                <w:lang w:eastAsia="ru-RU"/>
              </w:rPr>
            </w:pPr>
            <w:r>
              <w:rPr>
                <w:b/>
                <w:bCs/>
                <w:lang w:eastAsia="ru-RU"/>
              </w:rPr>
              <w:t>пт</w:t>
            </w:r>
          </w:p>
        </w:tc>
        <w:tc>
          <w:tcPr>
            <w:tcW w:w="709" w:type="dxa"/>
          </w:tcPr>
          <w:p w:rsidR="00C020F5" w:rsidRPr="00100C5A" w:rsidRDefault="00C020F5" w:rsidP="00F77EF0">
            <w:pPr>
              <w:spacing w:before="250"/>
              <w:jc w:val="center"/>
              <w:rPr>
                <w:b/>
                <w:bCs/>
                <w:vertAlign w:val="superscript"/>
                <w:lang w:eastAsia="ru-RU"/>
              </w:rPr>
            </w:pPr>
            <w:r>
              <w:rPr>
                <w:b/>
                <w:bCs/>
                <w:lang w:eastAsia="ru-RU"/>
              </w:rPr>
              <w:t>Сб</w:t>
            </w:r>
          </w:p>
        </w:tc>
        <w:tc>
          <w:tcPr>
            <w:tcW w:w="567" w:type="dxa"/>
          </w:tcPr>
          <w:p w:rsidR="00C020F5" w:rsidRPr="00915D0A" w:rsidRDefault="00C020F5" w:rsidP="00F77EF0">
            <w:pPr>
              <w:spacing w:before="250"/>
              <w:jc w:val="center"/>
              <w:rPr>
                <w:b/>
                <w:bCs/>
                <w:lang w:eastAsia="ru-RU"/>
              </w:rPr>
            </w:pPr>
            <w:r>
              <w:rPr>
                <w:b/>
                <w:bCs/>
                <w:lang w:eastAsia="ru-RU"/>
              </w:rPr>
              <w:t>нд</w:t>
            </w:r>
          </w:p>
        </w:tc>
      </w:tr>
      <w:tr w:rsidR="00C020F5" w:rsidRPr="00915D0A" w:rsidTr="00F77EF0">
        <w:tc>
          <w:tcPr>
            <w:tcW w:w="523" w:type="dxa"/>
          </w:tcPr>
          <w:p w:rsidR="00C020F5" w:rsidRDefault="00C020F5" w:rsidP="00F77EF0">
            <w:pPr>
              <w:spacing w:before="250"/>
              <w:jc w:val="center"/>
              <w:rPr>
                <w:b/>
                <w:bCs/>
                <w:sz w:val="24"/>
                <w:szCs w:val="24"/>
                <w:lang w:eastAsia="ru-RU"/>
              </w:rPr>
            </w:pPr>
            <w:r>
              <w:rPr>
                <w:b/>
                <w:bCs/>
                <w:sz w:val="24"/>
                <w:szCs w:val="24"/>
                <w:lang w:eastAsia="ru-RU"/>
              </w:rPr>
              <w:t>1</w:t>
            </w:r>
          </w:p>
        </w:tc>
        <w:tc>
          <w:tcPr>
            <w:tcW w:w="2454" w:type="dxa"/>
          </w:tcPr>
          <w:p w:rsidR="00C020F5" w:rsidRPr="003A6E16" w:rsidRDefault="00C020F5" w:rsidP="00F77EF0">
            <w:pPr>
              <w:jc w:val="center"/>
              <w:rPr>
                <w:b/>
                <w:bCs/>
                <w:lang w:eastAsia="ru-RU"/>
              </w:rPr>
            </w:pPr>
            <w:r w:rsidRPr="003A6E16">
              <w:rPr>
                <w:b/>
                <w:bCs/>
                <w:lang w:eastAsia="ru-RU"/>
              </w:rPr>
              <w:t>м. Львів, вул. Чорнобаївська</w:t>
            </w:r>
          </w:p>
          <w:p w:rsidR="00C020F5" w:rsidRPr="003C139F" w:rsidRDefault="00C020F5" w:rsidP="00F77EF0">
            <w:pPr>
              <w:jc w:val="center"/>
              <w:rPr>
                <w:b/>
                <w:bCs/>
                <w:highlight w:val="yellow"/>
                <w:lang w:eastAsia="ru-RU"/>
              </w:rPr>
            </w:pPr>
            <w:r w:rsidRPr="003A6E16">
              <w:rPr>
                <w:b/>
                <w:bCs/>
                <w:lang w:eastAsia="ru-RU"/>
              </w:rPr>
              <w:t>(Чуваська), 2</w:t>
            </w:r>
          </w:p>
        </w:tc>
        <w:tc>
          <w:tcPr>
            <w:tcW w:w="1418" w:type="dxa"/>
          </w:tcPr>
          <w:p w:rsidR="00C020F5" w:rsidRPr="003A6E16" w:rsidRDefault="00C020F5" w:rsidP="00F77EF0">
            <w:pPr>
              <w:spacing w:before="250"/>
              <w:jc w:val="center"/>
              <w:rPr>
                <w:b/>
                <w:bCs/>
                <w:lang w:eastAsia="ru-RU"/>
              </w:rPr>
            </w:pPr>
            <w:r w:rsidRPr="003A6E16">
              <w:rPr>
                <w:b/>
                <w:bCs/>
                <w:lang w:eastAsia="ru-RU"/>
              </w:rPr>
              <w:t>3</w:t>
            </w:r>
          </w:p>
        </w:tc>
        <w:tc>
          <w:tcPr>
            <w:tcW w:w="1417" w:type="dxa"/>
          </w:tcPr>
          <w:p w:rsidR="00C020F5" w:rsidRPr="003A6E16" w:rsidRDefault="00C020F5" w:rsidP="00F77EF0">
            <w:pPr>
              <w:spacing w:before="250"/>
              <w:jc w:val="center"/>
              <w:rPr>
                <w:b/>
                <w:bCs/>
                <w:lang w:eastAsia="ru-RU"/>
              </w:rPr>
            </w:pPr>
            <w:r w:rsidRPr="003A6E16">
              <w:rPr>
                <w:b/>
                <w:bCs/>
                <w:lang w:eastAsia="ru-RU"/>
              </w:rPr>
              <w:t>1,1</w:t>
            </w:r>
          </w:p>
        </w:tc>
        <w:tc>
          <w:tcPr>
            <w:tcW w:w="567" w:type="dxa"/>
          </w:tcPr>
          <w:p w:rsidR="00C020F5" w:rsidRPr="00915D0A" w:rsidRDefault="00C020F5" w:rsidP="00F77EF0">
            <w:pPr>
              <w:spacing w:before="250"/>
              <w:jc w:val="center"/>
              <w:rPr>
                <w:b/>
                <w:bCs/>
                <w:lang w:eastAsia="ru-RU"/>
              </w:rPr>
            </w:pPr>
          </w:p>
        </w:tc>
        <w:tc>
          <w:tcPr>
            <w:tcW w:w="567" w:type="dxa"/>
          </w:tcPr>
          <w:p w:rsidR="00C020F5" w:rsidRPr="00915D0A" w:rsidRDefault="00C020F5" w:rsidP="00F77EF0">
            <w:pPr>
              <w:spacing w:before="250"/>
              <w:jc w:val="center"/>
              <w:rPr>
                <w:b/>
                <w:bCs/>
                <w:lang w:eastAsia="ru-RU"/>
              </w:rPr>
            </w:pPr>
            <w:r>
              <w:rPr>
                <w:b/>
                <w:bCs/>
                <w:lang w:eastAsia="ru-RU"/>
              </w:rPr>
              <w:t>+</w:t>
            </w:r>
          </w:p>
        </w:tc>
        <w:tc>
          <w:tcPr>
            <w:tcW w:w="567" w:type="dxa"/>
          </w:tcPr>
          <w:p w:rsidR="00C020F5" w:rsidRPr="00915D0A" w:rsidRDefault="00C020F5" w:rsidP="00F77EF0">
            <w:pPr>
              <w:spacing w:before="250"/>
              <w:jc w:val="center"/>
              <w:rPr>
                <w:b/>
                <w:bCs/>
                <w:lang w:eastAsia="ru-RU"/>
              </w:rPr>
            </w:pPr>
          </w:p>
        </w:tc>
        <w:tc>
          <w:tcPr>
            <w:tcW w:w="567" w:type="dxa"/>
          </w:tcPr>
          <w:p w:rsidR="00C020F5" w:rsidRDefault="00C020F5" w:rsidP="00F77EF0">
            <w:pPr>
              <w:spacing w:before="250"/>
              <w:jc w:val="center"/>
              <w:rPr>
                <w:b/>
                <w:bCs/>
                <w:lang w:eastAsia="ru-RU"/>
              </w:rPr>
            </w:pPr>
            <w:r>
              <w:rPr>
                <w:b/>
                <w:bCs/>
                <w:lang w:eastAsia="ru-RU"/>
              </w:rPr>
              <w:t>+</w:t>
            </w:r>
          </w:p>
          <w:p w:rsidR="00C020F5" w:rsidRPr="00915D0A" w:rsidRDefault="00C020F5" w:rsidP="00F77EF0">
            <w:pPr>
              <w:spacing w:before="250"/>
              <w:jc w:val="center"/>
              <w:rPr>
                <w:b/>
                <w:bCs/>
                <w:lang w:eastAsia="ru-RU"/>
              </w:rPr>
            </w:pPr>
          </w:p>
        </w:tc>
        <w:tc>
          <w:tcPr>
            <w:tcW w:w="567" w:type="dxa"/>
          </w:tcPr>
          <w:p w:rsidR="00C020F5" w:rsidRPr="00915D0A" w:rsidRDefault="00C020F5" w:rsidP="00F77EF0">
            <w:pPr>
              <w:spacing w:before="250"/>
              <w:jc w:val="center"/>
              <w:rPr>
                <w:b/>
                <w:bCs/>
                <w:lang w:eastAsia="ru-RU"/>
              </w:rPr>
            </w:pPr>
          </w:p>
        </w:tc>
        <w:tc>
          <w:tcPr>
            <w:tcW w:w="709" w:type="dxa"/>
          </w:tcPr>
          <w:p w:rsidR="00C020F5" w:rsidRDefault="00C020F5" w:rsidP="00F77EF0">
            <w:pPr>
              <w:spacing w:before="250"/>
              <w:jc w:val="center"/>
              <w:rPr>
                <w:b/>
                <w:bCs/>
                <w:lang w:eastAsia="ru-RU"/>
              </w:rPr>
            </w:pPr>
            <w:r>
              <w:rPr>
                <w:b/>
                <w:bCs/>
                <w:lang w:eastAsia="ru-RU"/>
              </w:rPr>
              <w:t>+</w:t>
            </w:r>
          </w:p>
          <w:p w:rsidR="00C020F5" w:rsidRPr="00915D0A" w:rsidRDefault="00C020F5" w:rsidP="00F77EF0">
            <w:pPr>
              <w:spacing w:before="250"/>
              <w:jc w:val="center"/>
              <w:rPr>
                <w:b/>
                <w:bCs/>
                <w:lang w:eastAsia="ru-RU"/>
              </w:rPr>
            </w:pPr>
          </w:p>
        </w:tc>
        <w:tc>
          <w:tcPr>
            <w:tcW w:w="567" w:type="dxa"/>
          </w:tcPr>
          <w:p w:rsidR="00C020F5" w:rsidRPr="00915D0A" w:rsidRDefault="00C020F5" w:rsidP="00F77EF0">
            <w:pPr>
              <w:spacing w:before="250"/>
              <w:jc w:val="center"/>
              <w:rPr>
                <w:b/>
                <w:bCs/>
                <w:lang w:eastAsia="ru-RU"/>
              </w:rPr>
            </w:pPr>
          </w:p>
        </w:tc>
      </w:tr>
    </w:tbl>
    <w:p w:rsidR="000F31B5" w:rsidRDefault="000F31B5" w:rsidP="000F31B5">
      <w:pPr>
        <w:spacing w:after="0"/>
        <w:jc w:val="both"/>
        <w:rPr>
          <w:rFonts w:cs="Times New Roman"/>
          <w:b/>
          <w:i/>
        </w:rPr>
      </w:pPr>
      <w:r>
        <w:rPr>
          <w:rFonts w:cs="Times New Roman"/>
          <w:b/>
          <w:i/>
        </w:rPr>
        <w:t>3. Очікувана вартість</w:t>
      </w:r>
      <w:r w:rsidRPr="009F4FD2">
        <w:rPr>
          <w:rFonts w:cs="Times New Roman"/>
          <w:b/>
          <w:i/>
        </w:rPr>
        <w:t xml:space="preserve"> та/або розмір бюджетного призначення</w:t>
      </w:r>
      <w:r>
        <w:rPr>
          <w:rFonts w:cs="Times New Roman"/>
          <w:b/>
          <w:i/>
        </w:rPr>
        <w:t>:</w:t>
      </w:r>
    </w:p>
    <w:p w:rsidR="000F31B5" w:rsidRPr="002A17DA" w:rsidRDefault="002A17DA" w:rsidP="000F31B5">
      <w:pPr>
        <w:spacing w:after="0"/>
        <w:jc w:val="both"/>
        <w:rPr>
          <w:rFonts w:cs="Times New Roman"/>
          <w:i/>
        </w:rPr>
      </w:pPr>
      <w:r>
        <w:rPr>
          <w:rFonts w:cs="Times New Roman"/>
        </w:rPr>
        <w:lastRenderedPageBreak/>
        <w:t xml:space="preserve">      -  </w:t>
      </w:r>
      <w:r w:rsidR="000F31B5" w:rsidRPr="001D4A1F">
        <w:rPr>
          <w:rFonts w:cs="Times New Roman"/>
        </w:rPr>
        <w:t xml:space="preserve">Очікувана вартість закупівлі згідно проведених розрахунків із врахуванням кошторисних призначень становить – </w:t>
      </w:r>
      <w:r w:rsidR="00C020F5">
        <w:rPr>
          <w:rFonts w:cs="Times New Roman"/>
          <w:i/>
        </w:rPr>
        <w:t>150 032,00</w:t>
      </w:r>
      <w:r w:rsidRPr="002A17DA">
        <w:rPr>
          <w:rFonts w:cs="Times New Roman"/>
          <w:i/>
        </w:rPr>
        <w:t xml:space="preserve"> </w:t>
      </w:r>
      <w:r w:rsidR="000F31B5" w:rsidRPr="002A17DA">
        <w:rPr>
          <w:rFonts w:cs="Times New Roman"/>
          <w:i/>
        </w:rPr>
        <w:t>грн. з ПДВ.</w:t>
      </w:r>
    </w:p>
    <w:p w:rsidR="002A17DA" w:rsidRPr="002A17DA" w:rsidRDefault="002A17DA" w:rsidP="001137DA">
      <w:pPr>
        <w:spacing w:after="0"/>
        <w:ind w:firstLine="567"/>
        <w:jc w:val="both"/>
        <w:rPr>
          <w:rFonts w:cs="Times New Roman"/>
        </w:rPr>
      </w:pPr>
      <w:r w:rsidRPr="002A17DA">
        <w:rPr>
          <w:rFonts w:cs="Times New Roman"/>
        </w:rPr>
        <w:t>Очікувана вартість предмета закупівлі розраховується Замовником з урахуванням орієнтовних потреб та сформована на підставі аналізу</w:t>
      </w:r>
      <w:r w:rsidR="00571F50">
        <w:rPr>
          <w:rFonts w:cs="Times New Roman"/>
        </w:rPr>
        <w:t xml:space="preserve"> попереднього року та тарифів </w:t>
      </w:r>
      <w:r w:rsidR="006A1485">
        <w:rPr>
          <w:rFonts w:cs="Times New Roman"/>
        </w:rPr>
        <w:t xml:space="preserve">розміщених на </w:t>
      </w:r>
      <w:proofErr w:type="spellStart"/>
      <w:r w:rsidR="00571F50">
        <w:rPr>
          <w:rFonts w:cs="Times New Roman"/>
        </w:rPr>
        <w:t>на</w:t>
      </w:r>
      <w:proofErr w:type="spellEnd"/>
      <w:r w:rsidR="00571F50">
        <w:rPr>
          <w:rFonts w:cs="Times New Roman"/>
        </w:rPr>
        <w:t xml:space="preserve"> сайтах </w:t>
      </w:r>
      <w:r w:rsidR="006A1485">
        <w:rPr>
          <w:rFonts w:cs="Times New Roman"/>
        </w:rPr>
        <w:t xml:space="preserve">компаній, що надають послуги у сфері управління ТПВ </w:t>
      </w:r>
      <w:r w:rsidR="001137DA">
        <w:rPr>
          <w:rFonts w:cs="Times New Roman"/>
        </w:rPr>
        <w:t xml:space="preserve">з врахуванням </w:t>
      </w:r>
      <w:r w:rsidR="001137DA" w:rsidRPr="001137DA">
        <w:rPr>
          <w:rFonts w:cs="Times New Roman"/>
        </w:rPr>
        <w:t>Рішення Виконавчого комітету Львівської міської ради</w:t>
      </w:r>
      <w:r w:rsidR="001137DA">
        <w:rPr>
          <w:rFonts w:cs="Times New Roman"/>
        </w:rPr>
        <w:t xml:space="preserve"> № </w:t>
      </w:r>
      <w:r w:rsidR="001137DA" w:rsidRPr="001137DA">
        <w:rPr>
          <w:rFonts w:cs="Times New Roman"/>
        </w:rPr>
        <w:t>675 «Про встановлення тарифів на послуги з вивезення побутових відходів» від 04.08.2017 року з змінам</w:t>
      </w:r>
      <w:r w:rsidR="001137DA">
        <w:rPr>
          <w:rFonts w:cs="Times New Roman"/>
        </w:rPr>
        <w:t xml:space="preserve">и </w:t>
      </w:r>
      <w:r w:rsidR="001137DA" w:rsidRPr="001137DA">
        <w:rPr>
          <w:rFonts w:cs="Times New Roman"/>
        </w:rPr>
        <w:t>та доповненнями до нього, внесеними Рішенням ВК ЛМР №471 «Про внесення змін до рішення виконавчого комітету від 04.08.2017</w:t>
      </w:r>
      <w:r w:rsidR="001137DA">
        <w:rPr>
          <w:rFonts w:cs="Times New Roman"/>
        </w:rPr>
        <w:t xml:space="preserve"> </w:t>
      </w:r>
      <w:r w:rsidR="001137DA" w:rsidRPr="001137DA">
        <w:rPr>
          <w:rFonts w:cs="Times New Roman"/>
        </w:rPr>
        <w:t>№675» від 27.06.2022 року</w:t>
      </w:r>
      <w:r w:rsidR="006A1485">
        <w:rPr>
          <w:rFonts w:cs="Times New Roman"/>
        </w:rPr>
        <w:t>, вартості послуг із захоронення ТВП</w:t>
      </w:r>
      <w:r w:rsidR="001137DA" w:rsidRPr="001137DA">
        <w:rPr>
          <w:rFonts w:cs="Times New Roman"/>
        </w:rPr>
        <w:t>,</w:t>
      </w:r>
      <w:r w:rsidR="001137DA">
        <w:rPr>
          <w:rFonts w:cs="Times New Roman"/>
        </w:rPr>
        <w:t xml:space="preserve"> </w:t>
      </w:r>
      <w:r w:rsidRPr="002A17DA">
        <w:rPr>
          <w:rFonts w:cs="Times New Roman"/>
        </w:rPr>
        <w:t>в межах  ч.4 ст. 4 ЗУ «Про публічні закупівлі».</w:t>
      </w:r>
    </w:p>
    <w:p w:rsidR="002A17DA" w:rsidRPr="002A17DA" w:rsidRDefault="002A17DA" w:rsidP="002A17DA">
      <w:pPr>
        <w:pStyle w:val="ae"/>
        <w:numPr>
          <w:ilvl w:val="0"/>
          <w:numId w:val="4"/>
        </w:numPr>
        <w:spacing w:after="0"/>
        <w:jc w:val="both"/>
        <w:rPr>
          <w:rFonts w:cs="Times New Roman"/>
        </w:rPr>
      </w:pPr>
      <w:r w:rsidRPr="002A17DA">
        <w:rPr>
          <w:rFonts w:cs="Times New Roman"/>
        </w:rPr>
        <w:t xml:space="preserve">Розмір бюджетного призначення: </w:t>
      </w:r>
      <w:r w:rsidR="00C020F5">
        <w:rPr>
          <w:rFonts w:cs="Times New Roman"/>
          <w:i/>
        </w:rPr>
        <w:t xml:space="preserve">150 032,00 </w:t>
      </w:r>
      <w:r w:rsidRPr="002A17DA">
        <w:rPr>
          <w:rFonts w:cs="Times New Roman"/>
          <w:i/>
        </w:rPr>
        <w:t xml:space="preserve"> грн. з ПДВ.</w:t>
      </w:r>
    </w:p>
    <w:p w:rsidR="002A17DA" w:rsidRPr="002A17DA" w:rsidRDefault="002A17DA" w:rsidP="002A17DA">
      <w:pPr>
        <w:spacing w:after="0"/>
        <w:ind w:firstLine="567"/>
        <w:jc w:val="both"/>
        <w:rPr>
          <w:rFonts w:cs="Times New Roman"/>
        </w:rPr>
      </w:pPr>
      <w:r w:rsidRPr="002A17DA">
        <w:rPr>
          <w:rFonts w:cs="Times New Roman"/>
        </w:rPr>
        <w:t>Розмір бюджетного призначення визначений з урахуванням Ухвали Львівської міської ради від 2</w:t>
      </w:r>
      <w:r w:rsidR="00DF7BD6">
        <w:rPr>
          <w:rFonts w:cs="Times New Roman"/>
        </w:rPr>
        <w:t>7</w:t>
      </w:r>
      <w:r w:rsidRPr="002A17DA">
        <w:rPr>
          <w:rFonts w:cs="Times New Roman"/>
        </w:rPr>
        <w:t>.12.202</w:t>
      </w:r>
      <w:r w:rsidR="00DF7BD6">
        <w:rPr>
          <w:rFonts w:cs="Times New Roman"/>
        </w:rPr>
        <w:t>3</w:t>
      </w:r>
      <w:r w:rsidRPr="002A17DA">
        <w:rPr>
          <w:rFonts w:cs="Times New Roman"/>
        </w:rPr>
        <w:t xml:space="preserve">р. № </w:t>
      </w:r>
      <w:r w:rsidR="00DF7BD6">
        <w:rPr>
          <w:rFonts w:cs="Times New Roman"/>
        </w:rPr>
        <w:t>4295</w:t>
      </w:r>
      <w:r w:rsidRPr="002A17DA">
        <w:rPr>
          <w:rFonts w:cs="Times New Roman"/>
        </w:rPr>
        <w:t xml:space="preserve"> «Про бюджет Львівської міської територіальної громади на 202</w:t>
      </w:r>
      <w:r w:rsidR="00DF7BD6">
        <w:rPr>
          <w:rFonts w:cs="Times New Roman"/>
        </w:rPr>
        <w:t>4</w:t>
      </w:r>
      <w:r w:rsidRPr="002A17DA">
        <w:rPr>
          <w:rFonts w:cs="Times New Roman"/>
        </w:rPr>
        <w:t xml:space="preserve"> рік»</w:t>
      </w:r>
    </w:p>
    <w:p w:rsidR="000F31B5" w:rsidRDefault="000F31B5" w:rsidP="000F31B5">
      <w:pPr>
        <w:spacing w:after="0"/>
        <w:ind w:firstLine="567"/>
        <w:jc w:val="both"/>
        <w:rPr>
          <w:rFonts w:cs="Times New Roman"/>
          <w:color w:val="FF0000"/>
        </w:rPr>
      </w:pPr>
    </w:p>
    <w:p w:rsidR="000F31B5" w:rsidRDefault="000F31B5">
      <w:bookmarkStart w:id="1" w:name="_GoBack"/>
      <w:bookmarkEnd w:id="1"/>
    </w:p>
    <w:p w:rsidR="000F31B5" w:rsidRDefault="000F31B5"/>
    <w:sectPr w:rsidR="000F31B5">
      <w:pgSz w:w="11906" w:h="16838"/>
      <w:pgMar w:top="566"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F5612"/>
    <w:multiLevelType w:val="hybridMultilevel"/>
    <w:tmpl w:val="A0043EBC"/>
    <w:lvl w:ilvl="0" w:tplc="54B2996E">
      <w:start w:val="9"/>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82C5AB9"/>
    <w:multiLevelType w:val="multilevel"/>
    <w:tmpl w:val="54BAB3B4"/>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8D9281A"/>
    <w:multiLevelType w:val="multilevel"/>
    <w:tmpl w:val="7DE2C402"/>
    <w:lvl w:ilvl="0">
      <w:start w:val="1"/>
      <w:numFmt w:val="decimal"/>
      <w:lvlText w:val="%1."/>
      <w:lvlJc w:val="left"/>
      <w:pPr>
        <w:ind w:left="720" w:hanging="360"/>
      </w:pPr>
      <w:rPr>
        <w:rFonts w:ascii="Times New Roman" w:eastAsia="SimSun" w:hAnsi="Times New Roman" w:cs="SimSu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6F5ABF"/>
    <w:multiLevelType w:val="hybridMultilevel"/>
    <w:tmpl w:val="CA2C72F6"/>
    <w:lvl w:ilvl="0" w:tplc="04220001">
      <w:start w:val="1"/>
      <w:numFmt w:val="bullet"/>
      <w:lvlText w:val=""/>
      <w:lvlJc w:val="left"/>
      <w:pPr>
        <w:ind w:left="719" w:hanging="360"/>
      </w:pPr>
      <w:rPr>
        <w:rFonts w:ascii="Symbol" w:hAnsi="Symbol" w:hint="default"/>
      </w:rPr>
    </w:lvl>
    <w:lvl w:ilvl="1" w:tplc="04220003" w:tentative="1">
      <w:start w:val="1"/>
      <w:numFmt w:val="bullet"/>
      <w:lvlText w:val="o"/>
      <w:lvlJc w:val="left"/>
      <w:pPr>
        <w:ind w:left="1439" w:hanging="360"/>
      </w:pPr>
      <w:rPr>
        <w:rFonts w:ascii="Courier New" w:hAnsi="Courier New" w:hint="default"/>
      </w:rPr>
    </w:lvl>
    <w:lvl w:ilvl="2" w:tplc="04220005" w:tentative="1">
      <w:start w:val="1"/>
      <w:numFmt w:val="bullet"/>
      <w:lvlText w:val=""/>
      <w:lvlJc w:val="left"/>
      <w:pPr>
        <w:ind w:left="2159" w:hanging="360"/>
      </w:pPr>
      <w:rPr>
        <w:rFonts w:ascii="Wingdings" w:hAnsi="Wingdings" w:hint="default"/>
      </w:rPr>
    </w:lvl>
    <w:lvl w:ilvl="3" w:tplc="04220001" w:tentative="1">
      <w:start w:val="1"/>
      <w:numFmt w:val="bullet"/>
      <w:lvlText w:val=""/>
      <w:lvlJc w:val="left"/>
      <w:pPr>
        <w:ind w:left="2879" w:hanging="360"/>
      </w:pPr>
      <w:rPr>
        <w:rFonts w:ascii="Symbol" w:hAnsi="Symbol" w:hint="default"/>
      </w:rPr>
    </w:lvl>
    <w:lvl w:ilvl="4" w:tplc="04220003" w:tentative="1">
      <w:start w:val="1"/>
      <w:numFmt w:val="bullet"/>
      <w:lvlText w:val="o"/>
      <w:lvlJc w:val="left"/>
      <w:pPr>
        <w:ind w:left="3599" w:hanging="360"/>
      </w:pPr>
      <w:rPr>
        <w:rFonts w:ascii="Courier New" w:hAnsi="Courier New" w:hint="default"/>
      </w:rPr>
    </w:lvl>
    <w:lvl w:ilvl="5" w:tplc="04220005" w:tentative="1">
      <w:start w:val="1"/>
      <w:numFmt w:val="bullet"/>
      <w:lvlText w:val=""/>
      <w:lvlJc w:val="left"/>
      <w:pPr>
        <w:ind w:left="4319" w:hanging="360"/>
      </w:pPr>
      <w:rPr>
        <w:rFonts w:ascii="Wingdings" w:hAnsi="Wingdings" w:hint="default"/>
      </w:rPr>
    </w:lvl>
    <w:lvl w:ilvl="6" w:tplc="04220001" w:tentative="1">
      <w:start w:val="1"/>
      <w:numFmt w:val="bullet"/>
      <w:lvlText w:val=""/>
      <w:lvlJc w:val="left"/>
      <w:pPr>
        <w:ind w:left="5039" w:hanging="360"/>
      </w:pPr>
      <w:rPr>
        <w:rFonts w:ascii="Symbol" w:hAnsi="Symbol" w:hint="default"/>
      </w:rPr>
    </w:lvl>
    <w:lvl w:ilvl="7" w:tplc="04220003" w:tentative="1">
      <w:start w:val="1"/>
      <w:numFmt w:val="bullet"/>
      <w:lvlText w:val="o"/>
      <w:lvlJc w:val="left"/>
      <w:pPr>
        <w:ind w:left="5759" w:hanging="360"/>
      </w:pPr>
      <w:rPr>
        <w:rFonts w:ascii="Courier New" w:hAnsi="Courier New" w:hint="default"/>
      </w:rPr>
    </w:lvl>
    <w:lvl w:ilvl="8" w:tplc="04220005" w:tentative="1">
      <w:start w:val="1"/>
      <w:numFmt w:val="bullet"/>
      <w:lvlText w:val=""/>
      <w:lvlJc w:val="left"/>
      <w:pPr>
        <w:ind w:left="6479" w:hanging="360"/>
      </w:pPr>
      <w:rPr>
        <w:rFonts w:ascii="Wingdings" w:hAnsi="Wingdings" w:hint="default"/>
      </w:rPr>
    </w:lvl>
  </w:abstractNum>
  <w:abstractNum w:abstractNumId="4" w15:restartNumberingAfterBreak="0">
    <w:nsid w:val="4F3319A2"/>
    <w:multiLevelType w:val="multilevel"/>
    <w:tmpl w:val="46A23EF4"/>
    <w:lvl w:ilvl="0">
      <w:start w:val="1"/>
      <w:numFmt w:val="decimal"/>
      <w:lvlText w:val="%1."/>
      <w:lvlJc w:val="left"/>
      <w:pPr>
        <w:ind w:left="720" w:hanging="360"/>
      </w:pPr>
      <w:rPr>
        <w:rFonts w:ascii="Times New Roman" w:eastAsia="SimSun" w:hAnsi="Times New Roman" w:cs="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32F"/>
    <w:rsid w:val="0005252B"/>
    <w:rsid w:val="00061A75"/>
    <w:rsid w:val="000A432F"/>
    <w:rsid w:val="000B54AB"/>
    <w:rsid w:val="000F31B5"/>
    <w:rsid w:val="000F75BF"/>
    <w:rsid w:val="001137DA"/>
    <w:rsid w:val="0018421E"/>
    <w:rsid w:val="002A17DA"/>
    <w:rsid w:val="00305D3F"/>
    <w:rsid w:val="003C713B"/>
    <w:rsid w:val="00571F50"/>
    <w:rsid w:val="005E4B5A"/>
    <w:rsid w:val="00601748"/>
    <w:rsid w:val="00635119"/>
    <w:rsid w:val="006A1485"/>
    <w:rsid w:val="00703A7A"/>
    <w:rsid w:val="00760CBB"/>
    <w:rsid w:val="007D37D0"/>
    <w:rsid w:val="00870833"/>
    <w:rsid w:val="00900129"/>
    <w:rsid w:val="00932BB1"/>
    <w:rsid w:val="00965259"/>
    <w:rsid w:val="009B0912"/>
    <w:rsid w:val="00AF2B77"/>
    <w:rsid w:val="00C020F5"/>
    <w:rsid w:val="00C867B4"/>
    <w:rsid w:val="00C91D06"/>
    <w:rsid w:val="00C97648"/>
    <w:rsid w:val="00D04ED6"/>
    <w:rsid w:val="00DF7BD6"/>
    <w:rsid w:val="00E20F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E820"/>
  <w15:docId w15:val="{AFE04C17-864E-4380-BBDD-AFE23663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uk-UA" w:eastAsia="uk-UA"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4DC9"/>
    <w:rPr>
      <w:rFonts w:eastAsia="SimSun" w:cs="SimSu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uiPriority w:val="99"/>
    <w:unhideWhenUsed/>
    <w:rsid w:val="000F4DC9"/>
    <w:rPr>
      <w:rFonts w:eastAsia="Times New Roman" w:hAnsi="Calibri" w:cs="Times New Roman"/>
      <w:color w:val="0000FF"/>
      <w:u w:val="single"/>
    </w:rPr>
  </w:style>
  <w:style w:type="paragraph" w:styleId="a5">
    <w:name w:val="No Spacing"/>
    <w:uiPriority w:val="1"/>
    <w:qFormat/>
    <w:rsid w:val="000F4DC9"/>
    <w:pPr>
      <w:suppressAutoHyphens/>
      <w:spacing w:after="0"/>
    </w:pPr>
    <w:rPr>
      <w:rFonts w:ascii="Calibri" w:eastAsia="SimSun" w:hAnsi="Calibri" w:cs="SimSun"/>
      <w:lang w:eastAsia="ar-SA"/>
    </w:rPr>
  </w:style>
  <w:style w:type="paragraph" w:customStyle="1" w:styleId="rvps2">
    <w:name w:val="rvps2"/>
    <w:basedOn w:val="a"/>
    <w:unhideWhenUsed/>
    <w:qFormat/>
    <w:rsid w:val="000F4DC9"/>
    <w:pPr>
      <w:spacing w:before="100" w:beforeAutospacing="1" w:after="100" w:afterAutospacing="1"/>
    </w:pPr>
    <w:rPr>
      <w:sz w:val="24"/>
      <w:szCs w:val="24"/>
    </w:rPr>
  </w:style>
  <w:style w:type="paragraph" w:customStyle="1" w:styleId="10">
    <w:name w:val="Абзац списка1"/>
    <w:basedOn w:val="a"/>
    <w:uiPriority w:val="34"/>
    <w:qFormat/>
    <w:rsid w:val="000F4DC9"/>
    <w:pPr>
      <w:spacing w:line="276" w:lineRule="auto"/>
      <w:ind w:left="720"/>
      <w:contextualSpacing/>
    </w:pPr>
    <w:rPr>
      <w:rFonts w:ascii="Calibri" w:hAnsi="Calibri" w:cs="Times New Roman"/>
    </w:rPr>
  </w:style>
  <w:style w:type="table" w:customStyle="1" w:styleId="11">
    <w:name w:val="Сетка таблицы1"/>
    <w:basedOn w:val="a1"/>
    <w:next w:val="a6"/>
    <w:uiPriority w:val="59"/>
    <w:qFormat/>
    <w:locked/>
    <w:rsid w:val="000F4DC9"/>
    <w:pPr>
      <w:spacing w:after="0"/>
    </w:pPr>
    <w:rPr>
      <w:rFonts w:ascii="Calibri" w:eastAsia="SimSun"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0F4D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pPr>
      <w:spacing w:after="0"/>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c">
    <w:basedOn w:val="TableNormal0"/>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d">
    <w:basedOn w:val="TableNormal0"/>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ae">
    <w:name w:val="List Paragraph"/>
    <w:basedOn w:val="a"/>
    <w:uiPriority w:val="34"/>
    <w:qFormat/>
    <w:rsid w:val="000B54AB"/>
    <w:pPr>
      <w:ind w:left="720"/>
      <w:contextualSpacing/>
    </w:pPr>
  </w:style>
  <w:style w:type="table" w:customStyle="1" w:styleId="TableNormal1">
    <w:name w:val="Table Normal1"/>
    <w:rsid w:val="00E20F93"/>
    <w:pPr>
      <w:spacing w:after="0"/>
    </w:pPr>
    <w:rPr>
      <w:rFonts w:ascii="Calibri" w:eastAsia="Calibri" w:hAnsi="Calibri" w:cs="Calibri"/>
      <w:sz w:val="20"/>
      <w:lang w:eastAsia="zh-C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sczEkUvzpyWDb5E6tPuoMk7EkQ==">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3024</Words>
  <Characters>1724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userua11</dc:creator>
  <cp:lastModifiedBy>User</cp:lastModifiedBy>
  <cp:revision>17</cp:revision>
  <dcterms:created xsi:type="dcterms:W3CDTF">2024-01-16T10:17:00Z</dcterms:created>
  <dcterms:modified xsi:type="dcterms:W3CDTF">2024-01-23T19:11:00Z</dcterms:modified>
</cp:coreProperties>
</file>