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13612" w14:textId="77777777" w:rsidR="00272568" w:rsidRPr="001528E6" w:rsidRDefault="00272568" w:rsidP="00A51A04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28E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 w:rsidRPr="001528E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Pr="001528E6" w:rsidRDefault="00272568" w:rsidP="00A51A04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28E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1528E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4EA93131" w14:textId="77777777" w:rsidR="00272568" w:rsidRPr="001528E6" w:rsidRDefault="00272568" w:rsidP="00A51A0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D0FCC4" w14:textId="77777777" w:rsidR="00272568" w:rsidRPr="001528E6" w:rsidRDefault="00272568" w:rsidP="00A32983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28E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28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 w:rsidRPr="001528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</w:t>
      </w:r>
      <w:r w:rsidRPr="001528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 w:rsidRPr="001528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1528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2B7DCE7C" w14:textId="48DC3AA4" w:rsidR="00272568" w:rsidRPr="001528E6" w:rsidRDefault="00272568" w:rsidP="00A3298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1528E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28E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="00E10AC3" w:rsidRPr="001528E6">
        <w:rPr>
          <w:rFonts w:ascii="Arial" w:hAnsi="Arial" w:cs="Arial"/>
          <w:sz w:val="24"/>
          <w:szCs w:val="24"/>
        </w:rPr>
        <w:t>Закупівля за предметом «Освітні послуги з підвищення кваліфікації посадових осіб органів місцевого самоврядування Львівської міської ради»</w:t>
      </w:r>
    </w:p>
    <w:p w14:paraId="62588F57" w14:textId="77777777" w:rsidR="005A6467" w:rsidRPr="001528E6" w:rsidRDefault="005A6467" w:rsidP="00A3298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</w:p>
    <w:p w14:paraId="7A379AF3" w14:textId="35A95D59" w:rsidR="005A6467" w:rsidRPr="001528E6" w:rsidRDefault="005A6467" w:rsidP="00A329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528E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DFEFD"/>
        </w:rPr>
        <w:t>Кількість:</w:t>
      </w:r>
      <w:r w:rsidRPr="001528E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E10AC3" w:rsidRPr="001528E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DFEFD"/>
        </w:rPr>
        <w:t>1 послуга</w:t>
      </w:r>
      <w:r w:rsidRPr="001528E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14:paraId="17666D2A" w14:textId="77777777" w:rsidR="005A6467" w:rsidRPr="001528E6" w:rsidRDefault="005A6467" w:rsidP="00A3298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14545136" w14:textId="7ABADE5E" w:rsidR="005A6467" w:rsidRPr="001528E6" w:rsidRDefault="00D956A6" w:rsidP="00A329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28E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28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0AC3" w:rsidRPr="001528E6">
        <w:rPr>
          <w:rFonts w:ascii="Arial" w:hAnsi="Arial" w:cs="Arial"/>
          <w:color w:val="000000" w:themeColor="text1"/>
          <w:sz w:val="24"/>
          <w:szCs w:val="24"/>
        </w:rPr>
        <w:t>Офіс з управління персоналом Львівської міської ради</w:t>
      </w:r>
    </w:p>
    <w:p w14:paraId="5F94E4B4" w14:textId="4F769C3B" w:rsidR="00D956A6" w:rsidRPr="001528E6" w:rsidRDefault="00D956A6" w:rsidP="00A329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28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E16B4F0" w14:textId="15BAD9D2" w:rsidR="00D956A6" w:rsidRPr="001528E6" w:rsidRDefault="00D956A6" w:rsidP="00A3298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28E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28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B3710" w:rsidRPr="001528E6">
        <w:rPr>
          <w:rFonts w:ascii="Arial" w:hAnsi="Arial" w:cs="Arial"/>
          <w:bCs/>
          <w:color w:val="000000" w:themeColor="text1"/>
          <w:sz w:val="24"/>
          <w:szCs w:val="24"/>
        </w:rPr>
        <w:t>40971068</w:t>
      </w:r>
    </w:p>
    <w:p w14:paraId="2FDFDE70" w14:textId="77777777" w:rsidR="005A6467" w:rsidRPr="001528E6" w:rsidRDefault="005A6467" w:rsidP="00A3298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B8ECE6C" w14:textId="71DC775A" w:rsidR="00B81EEB" w:rsidRPr="001528E6" w:rsidRDefault="00D956A6" w:rsidP="00A32983">
      <w:pPr>
        <w:spacing w:line="240" w:lineRule="atLeast"/>
        <w:jc w:val="both"/>
        <w:rPr>
          <w:rFonts w:ascii="Arial" w:eastAsia="Times New Roman" w:hAnsi="Arial" w:cs="Arial"/>
          <w:color w:val="6D6D6D"/>
          <w:sz w:val="24"/>
          <w:szCs w:val="24"/>
          <w:lang w:eastAsia="uk-UA"/>
        </w:rPr>
      </w:pPr>
      <w:r w:rsidRPr="001528E6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E10AC3" w:rsidRPr="001528E6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uk-UA"/>
          </w:rPr>
          <w:t>UA-2024-07</w:t>
        </w:r>
        <w:r w:rsidR="00B81EEB" w:rsidRPr="001528E6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uk-UA"/>
          </w:rPr>
          <w:t>-1</w:t>
        </w:r>
        <w:r w:rsidR="00E10AC3" w:rsidRPr="001528E6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uk-UA"/>
          </w:rPr>
          <w:t>7</w:t>
        </w:r>
        <w:r w:rsidR="00B81EEB" w:rsidRPr="001528E6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uk-UA"/>
          </w:rPr>
          <w:t>-00</w:t>
        </w:r>
        <w:r w:rsidR="00E10AC3" w:rsidRPr="001528E6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uk-UA"/>
          </w:rPr>
          <w:t>7228</w:t>
        </w:r>
        <w:r w:rsidR="00B81EEB" w:rsidRPr="001528E6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uk-UA"/>
          </w:rPr>
          <w:t>-a</w:t>
        </w:r>
      </w:hyperlink>
    </w:p>
    <w:p w14:paraId="3F6F1B44" w14:textId="609B25C0" w:rsidR="00D956A6" w:rsidRPr="001528E6" w:rsidRDefault="00D956A6" w:rsidP="00A3298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28E6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28E6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14:paraId="479B27A6" w14:textId="77777777" w:rsidR="005A6467" w:rsidRPr="001528E6" w:rsidRDefault="005A6467" w:rsidP="00A3298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</w:pPr>
    </w:p>
    <w:p w14:paraId="42EAA899" w14:textId="4D569097" w:rsidR="00D956A6" w:rsidRPr="001528E6" w:rsidRDefault="00D956A6" w:rsidP="00A32983">
      <w:pPr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Pr="001528E6">
        <w:rPr>
          <w:rFonts w:ascii="Arial" w:hAnsi="Arial" w:cs="Arial"/>
          <w:sz w:val="24"/>
          <w:szCs w:val="24"/>
        </w:rPr>
        <w:t xml:space="preserve"> </w:t>
      </w:r>
      <w:r w:rsidR="00B81EEB" w:rsidRPr="001528E6">
        <w:rPr>
          <w:rFonts w:ascii="Arial" w:hAnsi="Arial" w:cs="Arial"/>
          <w:sz w:val="24"/>
          <w:szCs w:val="24"/>
        </w:rPr>
        <w:t>Технічна підтримка офіційного порталу</w:t>
      </w:r>
      <w:r w:rsidR="00401F56" w:rsidRPr="001528E6">
        <w:rPr>
          <w:rFonts w:ascii="Arial" w:hAnsi="Arial" w:cs="Arial"/>
          <w:sz w:val="24"/>
          <w:szCs w:val="24"/>
        </w:rPr>
        <w:t xml:space="preserve"> </w:t>
      </w:r>
      <w:r w:rsidR="00B81EEB" w:rsidRPr="001528E6">
        <w:rPr>
          <w:rFonts w:ascii="Arial" w:hAnsi="Arial" w:cs="Arial"/>
          <w:sz w:val="24"/>
          <w:szCs w:val="24"/>
        </w:rPr>
        <w:t xml:space="preserve">(За </w:t>
      </w:r>
      <w:r w:rsidR="00401F56" w:rsidRPr="001528E6">
        <w:rPr>
          <w:rFonts w:ascii="Arial" w:hAnsi="Arial" w:cs="Arial"/>
          <w:sz w:val="24"/>
          <w:szCs w:val="24"/>
        </w:rPr>
        <w:t>ДК 021:2015:80570000-0 Послуги з професійної підготовки у сфері підвищення кваліфікації</w:t>
      </w:r>
      <w:r w:rsidR="00B81EEB" w:rsidRPr="001528E6">
        <w:rPr>
          <w:rFonts w:ascii="Arial" w:hAnsi="Arial" w:cs="Arial"/>
          <w:sz w:val="24"/>
          <w:szCs w:val="24"/>
        </w:rPr>
        <w:t>)</w:t>
      </w:r>
    </w:p>
    <w:p w14:paraId="3F52D0D8" w14:textId="2A30DB42" w:rsidR="00D956A6" w:rsidRPr="001528E6" w:rsidRDefault="00D956A6" w:rsidP="00A329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28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1F56" w:rsidRPr="001528E6">
        <w:rPr>
          <w:rFonts w:ascii="Arial" w:hAnsi="Arial" w:cs="Arial"/>
          <w:sz w:val="24"/>
          <w:szCs w:val="24"/>
        </w:rPr>
        <w:t>327100</w:t>
      </w:r>
      <w:r w:rsidR="00B81EEB" w:rsidRPr="001528E6">
        <w:rPr>
          <w:rFonts w:ascii="Arial" w:hAnsi="Arial" w:cs="Arial"/>
          <w:sz w:val="24"/>
          <w:szCs w:val="24"/>
        </w:rPr>
        <w:t>.00</w:t>
      </w:r>
      <w:r w:rsidR="003B3710" w:rsidRPr="001528E6">
        <w:rPr>
          <w:rFonts w:ascii="Arial" w:hAnsi="Arial" w:cs="Arial"/>
          <w:sz w:val="24"/>
          <w:szCs w:val="24"/>
        </w:rPr>
        <w:t xml:space="preserve"> </w:t>
      </w:r>
      <w:r w:rsidRPr="001528E6">
        <w:rPr>
          <w:rFonts w:ascii="Arial" w:hAnsi="Arial" w:cs="Arial"/>
          <w:sz w:val="24"/>
          <w:szCs w:val="24"/>
        </w:rPr>
        <w:t xml:space="preserve">грн з ПДВ </w:t>
      </w:r>
    </w:p>
    <w:p w14:paraId="6722D172" w14:textId="77777777" w:rsidR="00D956A6" w:rsidRPr="001528E6" w:rsidRDefault="00D956A6" w:rsidP="00A329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0A32662C" w14:textId="15A03763" w:rsidR="003659CA" w:rsidRPr="001528E6" w:rsidRDefault="008E556A" w:rsidP="00A329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Н</w:t>
      </w:r>
      <w:r w:rsidRPr="001528E6">
        <w:rPr>
          <w:rFonts w:ascii="Arial" w:hAnsi="Arial" w:cs="Arial"/>
          <w:sz w:val="24"/>
          <w:szCs w:val="24"/>
        </w:rPr>
        <w:t>а підставі ст.</w:t>
      </w:r>
      <w:r w:rsidRPr="001528E6">
        <w:rPr>
          <w:rFonts w:ascii="Arial" w:hAnsi="Arial" w:cs="Arial"/>
          <w:sz w:val="24"/>
          <w:szCs w:val="24"/>
        </w:rPr>
        <w:t xml:space="preserve"> </w:t>
      </w:r>
      <w:r w:rsidRPr="001528E6">
        <w:rPr>
          <w:rFonts w:ascii="Arial" w:hAnsi="Arial" w:cs="Arial"/>
          <w:sz w:val="24"/>
          <w:szCs w:val="24"/>
        </w:rPr>
        <w:t>8 Закону України «Про службу в органах місцевого самоврядування» та Постанови Кабінету Міністрів від 06.02.2019 №</w:t>
      </w:r>
      <w:r w:rsidRPr="001528E6">
        <w:rPr>
          <w:rFonts w:ascii="Arial" w:hAnsi="Arial" w:cs="Arial"/>
          <w:sz w:val="24"/>
          <w:szCs w:val="24"/>
        </w:rPr>
        <w:t xml:space="preserve"> </w:t>
      </w:r>
      <w:r w:rsidRPr="001528E6">
        <w:rPr>
          <w:rFonts w:ascii="Arial" w:hAnsi="Arial" w:cs="Arial"/>
          <w:sz w:val="24"/>
          <w:szCs w:val="24"/>
        </w:rPr>
        <w:t>106 «Про затвердження 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</w:t>
      </w:r>
      <w:r w:rsidRPr="001528E6">
        <w:rPr>
          <w:rFonts w:ascii="Arial" w:hAnsi="Arial" w:cs="Arial"/>
          <w:sz w:val="24"/>
          <w:szCs w:val="24"/>
        </w:rPr>
        <w:t>ання та депутатів місцевих рад» необхідно провести підвищення кваліфікації посадових осіб виконавчих органів Львівської міської ради через участь в спеціальній професійній (сертифікатній) програмі.</w:t>
      </w:r>
    </w:p>
    <w:p w14:paraId="22D6E2BE" w14:textId="183DB739" w:rsidR="005F36CC" w:rsidRPr="001528E6" w:rsidRDefault="00D956A6" w:rsidP="005F36C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Для визначення очікуваної вартості</w:t>
      </w:r>
      <w:r w:rsidR="008E556A" w:rsidRPr="001528E6">
        <w:rPr>
          <w:rFonts w:ascii="Arial" w:hAnsi="Arial" w:cs="Arial"/>
          <w:sz w:val="24"/>
          <w:szCs w:val="24"/>
        </w:rPr>
        <w:t xml:space="preserve"> предмету закупівлі, замовником було </w:t>
      </w:r>
      <w:r w:rsidR="005F36CC" w:rsidRPr="001528E6">
        <w:rPr>
          <w:rFonts w:ascii="Arial" w:hAnsi="Arial" w:cs="Arial"/>
          <w:sz w:val="24"/>
          <w:szCs w:val="24"/>
        </w:rPr>
        <w:t>скеров</w:t>
      </w:r>
      <w:r w:rsidR="008E556A" w:rsidRPr="001528E6">
        <w:rPr>
          <w:rFonts w:ascii="Arial" w:hAnsi="Arial" w:cs="Arial"/>
          <w:sz w:val="24"/>
          <w:szCs w:val="24"/>
        </w:rPr>
        <w:t xml:space="preserve">ано листи </w:t>
      </w:r>
      <w:r w:rsidR="005F36CC" w:rsidRPr="001528E6">
        <w:rPr>
          <w:rFonts w:ascii="Arial" w:hAnsi="Arial" w:cs="Arial"/>
          <w:sz w:val="24"/>
          <w:szCs w:val="24"/>
        </w:rPr>
        <w:t xml:space="preserve">трьом </w:t>
      </w:r>
      <w:r w:rsidR="008E556A" w:rsidRPr="001528E6">
        <w:rPr>
          <w:rFonts w:ascii="Arial" w:hAnsi="Arial" w:cs="Arial"/>
          <w:sz w:val="24"/>
          <w:szCs w:val="24"/>
        </w:rPr>
        <w:t>навчальним закладам, з проханням надати свої цінові пропозиції, враховуючи потреби</w:t>
      </w:r>
      <w:r w:rsidR="005F36CC" w:rsidRPr="001528E6">
        <w:rPr>
          <w:rFonts w:ascii="Arial" w:hAnsi="Arial" w:cs="Arial"/>
          <w:sz w:val="24"/>
          <w:szCs w:val="24"/>
        </w:rPr>
        <w:t xml:space="preserve"> замовника.</w:t>
      </w:r>
    </w:p>
    <w:p w14:paraId="5DD9C3C3" w14:textId="15CF6BF5" w:rsidR="001528E6" w:rsidRPr="008F21AC" w:rsidRDefault="00D956A6" w:rsidP="0077503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 xml:space="preserve">Інформація про необхідні технічні, якісні та кількісні </w:t>
      </w:r>
      <w:r w:rsidR="001528E6" w:rsidRPr="008F21AC">
        <w:rPr>
          <w:rFonts w:ascii="Arial" w:hAnsi="Arial" w:cs="Arial"/>
          <w:sz w:val="24"/>
          <w:szCs w:val="24"/>
        </w:rPr>
        <w:t>ВИМОГИ ДО ПРЕДМЕТУ</w:t>
      </w:r>
      <w:r w:rsidR="001528E6" w:rsidRPr="001528E6">
        <w:rPr>
          <w:rFonts w:ascii="Arial" w:hAnsi="Arial" w:cs="Arial"/>
          <w:b/>
          <w:sz w:val="24"/>
          <w:szCs w:val="24"/>
        </w:rPr>
        <w:t xml:space="preserve"> </w:t>
      </w:r>
      <w:r w:rsidR="001528E6" w:rsidRPr="008F21AC">
        <w:rPr>
          <w:rFonts w:ascii="Arial" w:hAnsi="Arial" w:cs="Arial"/>
          <w:sz w:val="24"/>
          <w:szCs w:val="24"/>
        </w:rPr>
        <w:t>ЗАКУПІВЛІ</w:t>
      </w:r>
    </w:p>
    <w:p w14:paraId="766E2762" w14:textId="77777777" w:rsidR="004C31CF" w:rsidRDefault="001528E6" w:rsidP="004C31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528E6">
        <w:rPr>
          <w:rFonts w:ascii="Arial" w:hAnsi="Arial" w:cs="Arial"/>
          <w:b/>
          <w:sz w:val="24"/>
          <w:szCs w:val="24"/>
        </w:rPr>
        <w:t>«ДК 021:2015:80570000-0 - Послуги з професійної підготовки у сфері підвищення кваліфікації»</w:t>
      </w:r>
    </w:p>
    <w:p w14:paraId="10F395F9" w14:textId="6C68400D" w:rsidR="001528E6" w:rsidRPr="001528E6" w:rsidRDefault="001528E6" w:rsidP="004C31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528E6">
        <w:rPr>
          <w:rFonts w:ascii="Arial" w:hAnsi="Arial" w:cs="Arial"/>
          <w:b/>
          <w:sz w:val="24"/>
          <w:szCs w:val="24"/>
        </w:rPr>
        <w:t xml:space="preserve"> Освітні послуги</w:t>
      </w:r>
    </w:p>
    <w:p w14:paraId="6BCD3D22" w14:textId="77777777" w:rsidR="001528E6" w:rsidRPr="001528E6" w:rsidRDefault="001528E6" w:rsidP="004C31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528E6">
        <w:rPr>
          <w:rFonts w:ascii="Arial" w:hAnsi="Arial" w:cs="Arial"/>
          <w:b/>
          <w:sz w:val="24"/>
          <w:szCs w:val="24"/>
        </w:rPr>
        <w:t>(підвищення кваліфікації посадових осіб місцевого самоврядування)</w:t>
      </w:r>
    </w:p>
    <w:p w14:paraId="4A539A49" w14:textId="77777777" w:rsidR="001528E6" w:rsidRPr="001528E6" w:rsidRDefault="001528E6" w:rsidP="001528E6">
      <w:pPr>
        <w:spacing w:before="240"/>
        <w:ind w:firstLine="720"/>
        <w:jc w:val="both"/>
        <w:rPr>
          <w:rFonts w:ascii="Arial" w:hAnsi="Arial" w:cs="Arial"/>
          <w:sz w:val="24"/>
          <w:szCs w:val="24"/>
          <w:highlight w:val="white"/>
        </w:rPr>
      </w:pPr>
      <w:r w:rsidRPr="001528E6">
        <w:rPr>
          <w:rFonts w:ascii="Arial" w:hAnsi="Arial" w:cs="Arial"/>
          <w:b/>
          <w:sz w:val="24"/>
          <w:szCs w:val="24"/>
        </w:rPr>
        <w:lastRenderedPageBreak/>
        <w:t>Мета даного навчання</w:t>
      </w:r>
      <w:r w:rsidRPr="001528E6">
        <w:rPr>
          <w:rFonts w:ascii="Arial" w:hAnsi="Arial" w:cs="Arial"/>
          <w:sz w:val="24"/>
          <w:szCs w:val="24"/>
        </w:rPr>
        <w:t xml:space="preserve"> – підвищення кваліфікації посадових осіб виконавчих органів Львівської міської ради через участь в спеціальній професійній (сертифікатній) програмі, на підставі ст.8 Закону України «Про службу в органах місцевого самоврядування» та Постанови Кабінету Міністрів від 06.02.2019 №106 «</w:t>
      </w:r>
      <w:r w:rsidRPr="001528E6">
        <w:rPr>
          <w:rFonts w:ascii="Arial" w:hAnsi="Arial" w:cs="Arial"/>
          <w:sz w:val="24"/>
          <w:szCs w:val="24"/>
          <w:highlight w:val="white"/>
        </w:rPr>
        <w:t>Про затвердження 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рад».</w:t>
      </w:r>
    </w:p>
    <w:p w14:paraId="0452BDA3" w14:textId="77777777" w:rsidR="001528E6" w:rsidRPr="001528E6" w:rsidRDefault="001528E6" w:rsidP="001528E6">
      <w:pPr>
        <w:ind w:left="560" w:firstLine="420"/>
        <w:jc w:val="both"/>
        <w:rPr>
          <w:rFonts w:ascii="Arial" w:hAnsi="Arial" w:cs="Arial"/>
          <w:b/>
          <w:sz w:val="24"/>
          <w:szCs w:val="24"/>
        </w:rPr>
      </w:pPr>
      <w:r w:rsidRPr="001528E6">
        <w:rPr>
          <w:rFonts w:ascii="Arial" w:hAnsi="Arial" w:cs="Arial"/>
          <w:b/>
          <w:sz w:val="24"/>
          <w:szCs w:val="24"/>
        </w:rPr>
        <w:t>1.</w:t>
      </w:r>
      <w:r w:rsidRPr="001528E6">
        <w:rPr>
          <w:rFonts w:ascii="Arial" w:eastAsia="Times New Roman" w:hAnsi="Arial" w:cs="Arial"/>
          <w:sz w:val="14"/>
          <w:szCs w:val="14"/>
        </w:rPr>
        <w:t xml:space="preserve">     </w:t>
      </w:r>
      <w:r w:rsidRPr="001528E6">
        <w:rPr>
          <w:rFonts w:ascii="Arial" w:hAnsi="Arial" w:cs="Arial"/>
          <w:b/>
          <w:sz w:val="24"/>
          <w:szCs w:val="24"/>
        </w:rPr>
        <w:t>Загальний опис</w:t>
      </w:r>
    </w:p>
    <w:p w14:paraId="7541C4E4" w14:textId="3BF902DA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1.1.</w:t>
      </w:r>
      <w:r w:rsidR="00314B1C">
        <w:rPr>
          <w:rFonts w:ascii="Arial" w:hAnsi="Arial" w:cs="Arial"/>
          <w:sz w:val="24"/>
          <w:szCs w:val="24"/>
        </w:rPr>
        <w:t xml:space="preserve"> </w:t>
      </w:r>
      <w:r w:rsidRPr="001528E6">
        <w:rPr>
          <w:rFonts w:ascii="Arial" w:hAnsi="Arial" w:cs="Arial"/>
          <w:sz w:val="24"/>
          <w:szCs w:val="24"/>
        </w:rPr>
        <w:t>Назва програми: Спеціальна професійна (сертифікатна) програма підвищення кваліфікації.</w:t>
      </w:r>
    </w:p>
    <w:p w14:paraId="772B653F" w14:textId="7777777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1.2.</w:t>
      </w:r>
      <w:r w:rsidRPr="001528E6">
        <w:rPr>
          <w:rFonts w:ascii="Arial" w:eastAsia="Times New Roman" w:hAnsi="Arial" w:cs="Arial"/>
          <w:sz w:val="14"/>
          <w:szCs w:val="14"/>
        </w:rPr>
        <w:t xml:space="preserve">  </w:t>
      </w:r>
      <w:r w:rsidRPr="001528E6">
        <w:rPr>
          <w:rFonts w:ascii="Arial" w:hAnsi="Arial" w:cs="Arial"/>
          <w:sz w:val="24"/>
          <w:szCs w:val="24"/>
        </w:rPr>
        <w:t>Місце проведення – м. Львів.</w:t>
      </w:r>
    </w:p>
    <w:p w14:paraId="56D81CFE" w14:textId="5AEF46E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1.3.</w:t>
      </w:r>
      <w:r w:rsidR="00314B1C">
        <w:rPr>
          <w:rFonts w:ascii="Arial" w:hAnsi="Arial" w:cs="Arial"/>
          <w:sz w:val="24"/>
          <w:szCs w:val="24"/>
        </w:rPr>
        <w:t xml:space="preserve"> </w:t>
      </w:r>
      <w:r w:rsidRPr="001528E6">
        <w:rPr>
          <w:rFonts w:ascii="Arial" w:hAnsi="Arial" w:cs="Arial"/>
          <w:sz w:val="24"/>
          <w:szCs w:val="24"/>
        </w:rPr>
        <w:t xml:space="preserve">Форма навчання – дистанційна з використанням спеціальних інтернет-платформ. </w:t>
      </w:r>
    </w:p>
    <w:p w14:paraId="3BDD26E6" w14:textId="287FE05D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1.4</w:t>
      </w:r>
      <w:r w:rsidR="00314B1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1528E6">
        <w:rPr>
          <w:rFonts w:ascii="Arial" w:hAnsi="Arial" w:cs="Arial"/>
          <w:sz w:val="24"/>
          <w:szCs w:val="24"/>
        </w:rPr>
        <w:t xml:space="preserve"> Навчання здійснюється державною мовою.</w:t>
      </w:r>
    </w:p>
    <w:p w14:paraId="2E2A0B3D" w14:textId="7777777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1.5.</w:t>
      </w:r>
      <w:r w:rsidRPr="001528E6">
        <w:rPr>
          <w:rFonts w:ascii="Arial" w:eastAsia="Times New Roman" w:hAnsi="Arial" w:cs="Arial"/>
          <w:sz w:val="14"/>
          <w:szCs w:val="14"/>
        </w:rPr>
        <w:t xml:space="preserve"> </w:t>
      </w:r>
      <w:r w:rsidRPr="001528E6">
        <w:rPr>
          <w:rFonts w:ascii="Arial" w:hAnsi="Arial" w:cs="Arial"/>
          <w:sz w:val="24"/>
          <w:szCs w:val="24"/>
        </w:rPr>
        <w:t>Тривалість навчальної програми для однієї особи – 2 кредити ЄКТС (60 академічних годин), враховуючи дистанційні заняття, самостійну роботу та контрольні заходи.</w:t>
      </w:r>
    </w:p>
    <w:p w14:paraId="1DFDFA28" w14:textId="7777777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1.6.</w:t>
      </w:r>
      <w:r w:rsidRPr="001528E6">
        <w:rPr>
          <w:rFonts w:ascii="Arial" w:eastAsia="Times New Roman" w:hAnsi="Arial" w:cs="Arial"/>
          <w:sz w:val="14"/>
          <w:szCs w:val="14"/>
        </w:rPr>
        <w:t xml:space="preserve"> </w:t>
      </w:r>
      <w:r w:rsidRPr="001528E6">
        <w:rPr>
          <w:rFonts w:ascii="Arial" w:hAnsi="Arial" w:cs="Arial"/>
          <w:sz w:val="24"/>
          <w:szCs w:val="24"/>
        </w:rPr>
        <w:t>Тривалість 1 академічної години – 45 хвилин.</w:t>
      </w:r>
    </w:p>
    <w:p w14:paraId="33727F96" w14:textId="7777777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1.7. Період підвищення кваліфікації -  з вересня по листопад 2024 року.</w:t>
      </w:r>
    </w:p>
    <w:p w14:paraId="4A957A07" w14:textId="7777777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1.8.</w:t>
      </w:r>
      <w:r w:rsidRPr="001528E6">
        <w:rPr>
          <w:rFonts w:ascii="Arial" w:eastAsia="Times New Roman" w:hAnsi="Arial" w:cs="Arial"/>
          <w:sz w:val="14"/>
          <w:szCs w:val="14"/>
        </w:rPr>
        <w:t xml:space="preserve">  </w:t>
      </w:r>
      <w:r w:rsidRPr="001528E6">
        <w:rPr>
          <w:rFonts w:ascii="Arial" w:hAnsi="Arial" w:cs="Arial"/>
          <w:sz w:val="24"/>
          <w:szCs w:val="24"/>
        </w:rPr>
        <w:t>Загальна кількість учасників – 735 осіб.</w:t>
      </w:r>
    </w:p>
    <w:p w14:paraId="637744E5" w14:textId="7777777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1.9.</w:t>
      </w:r>
      <w:r w:rsidRPr="001528E6">
        <w:rPr>
          <w:rFonts w:ascii="Arial" w:eastAsia="Times New Roman" w:hAnsi="Arial" w:cs="Arial"/>
          <w:sz w:val="14"/>
          <w:szCs w:val="14"/>
        </w:rPr>
        <w:t xml:space="preserve"> </w:t>
      </w:r>
      <w:r w:rsidRPr="001528E6">
        <w:rPr>
          <w:rFonts w:ascii="Arial" w:hAnsi="Arial" w:cs="Arial"/>
          <w:sz w:val="24"/>
          <w:szCs w:val="24"/>
        </w:rPr>
        <w:t>Навчання відбуватиметься у групах. Інформація щодо точної кількості учасників кожної групи та періоду навчання буде попередньо погоджено з Виконавцем та затверджено розпорядженням міського голови у формі плану-графіку не пізніше ніж за два тижні до початку навчання.</w:t>
      </w:r>
    </w:p>
    <w:p w14:paraId="719AE3AC" w14:textId="7777777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1.10. Дистанційні заняття можуть проходити у формі лекції, семінару (</w:t>
      </w:r>
      <w:proofErr w:type="spellStart"/>
      <w:r w:rsidRPr="001528E6">
        <w:rPr>
          <w:rFonts w:ascii="Arial" w:hAnsi="Arial" w:cs="Arial"/>
          <w:sz w:val="24"/>
          <w:szCs w:val="24"/>
        </w:rPr>
        <w:t>вебінару</w:t>
      </w:r>
      <w:proofErr w:type="spellEnd"/>
      <w:r w:rsidRPr="001528E6">
        <w:rPr>
          <w:rFonts w:ascii="Arial" w:hAnsi="Arial" w:cs="Arial"/>
          <w:sz w:val="24"/>
          <w:szCs w:val="24"/>
        </w:rPr>
        <w:t>), практичного заняття, індивідуального виконання ситуаційного завдання, групової та індивідуальної дискусії (у тому числі інтернет-форум) тощо. Виконавець забезпечує онлайн платформою для проведення дистанційних занять.</w:t>
      </w:r>
    </w:p>
    <w:p w14:paraId="5E1D3F8F" w14:textId="7777777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1.11.</w:t>
      </w:r>
      <w:r w:rsidRPr="001528E6">
        <w:rPr>
          <w:rFonts w:ascii="Arial" w:eastAsia="Times New Roman" w:hAnsi="Arial" w:cs="Arial"/>
          <w:sz w:val="14"/>
          <w:szCs w:val="14"/>
        </w:rPr>
        <w:t xml:space="preserve">  </w:t>
      </w:r>
      <w:r w:rsidRPr="001528E6">
        <w:rPr>
          <w:rFonts w:ascii="Arial" w:hAnsi="Arial" w:cs="Arial"/>
          <w:sz w:val="24"/>
          <w:szCs w:val="24"/>
        </w:rPr>
        <w:t>Виконавець проводить підсумковий контроль для оцінки засвоєння учасниками матеріалів підвищення кваліфікації.</w:t>
      </w:r>
    </w:p>
    <w:p w14:paraId="231C3761" w14:textId="7777777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1.12.</w:t>
      </w:r>
      <w:r w:rsidRPr="001528E6">
        <w:rPr>
          <w:rFonts w:ascii="Arial" w:eastAsia="Times New Roman" w:hAnsi="Arial" w:cs="Arial"/>
          <w:sz w:val="14"/>
          <w:szCs w:val="14"/>
        </w:rPr>
        <w:t xml:space="preserve">  </w:t>
      </w:r>
      <w:r w:rsidRPr="001528E6">
        <w:rPr>
          <w:rFonts w:ascii="Arial" w:hAnsi="Arial" w:cs="Arial"/>
          <w:sz w:val="24"/>
          <w:szCs w:val="24"/>
          <w:highlight w:val="white"/>
        </w:rPr>
        <w:t xml:space="preserve">Норми часу для планування й обліку навчальної роботи викладачів, які забезпечують навчання за програмою підвищення кваліфікації, визначено у Додатку до </w:t>
      </w:r>
      <w:r w:rsidRPr="001528E6">
        <w:rPr>
          <w:rFonts w:ascii="Arial" w:hAnsi="Arial" w:cs="Arial"/>
          <w:sz w:val="24"/>
          <w:szCs w:val="24"/>
        </w:rPr>
        <w:t>Порядку організації підвищення кваліфікації державних службовців, голів місцевих державних адміністрацій, їх перших заступників та заступників, посадових осіб місцевого самоврядування», затвердженого Наказом Національного агентства України з питань державної служби №211-19 від 26.11.2019р.</w:t>
      </w:r>
    </w:p>
    <w:p w14:paraId="0C854355" w14:textId="7777777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1.13.</w:t>
      </w:r>
      <w:r w:rsidRPr="001528E6">
        <w:rPr>
          <w:rFonts w:ascii="Arial" w:eastAsia="Times New Roman" w:hAnsi="Arial" w:cs="Arial"/>
          <w:sz w:val="14"/>
          <w:szCs w:val="14"/>
        </w:rPr>
        <w:t xml:space="preserve"> </w:t>
      </w:r>
      <w:r w:rsidRPr="001528E6">
        <w:rPr>
          <w:rFonts w:ascii="Arial" w:hAnsi="Arial" w:cs="Arial"/>
          <w:sz w:val="24"/>
          <w:szCs w:val="24"/>
        </w:rPr>
        <w:t>Навчальний матеріал повинен бути поданий, як мультимедійна презентація (набір слайдів, який включає текстовий вміст найважливіших частин доповіді, нотатки доповідача, важливу табличну, графічну, фото та відео інформацію), а також роздатковий матеріал для кожного учасника, які Виконавець буде використовувати під час викладу матеріалу та практичних занять.</w:t>
      </w:r>
    </w:p>
    <w:p w14:paraId="6F74C51B" w14:textId="77777777" w:rsidR="001528E6" w:rsidRPr="001528E6" w:rsidRDefault="001528E6" w:rsidP="001528E6">
      <w:pPr>
        <w:ind w:firstLine="28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lastRenderedPageBreak/>
        <w:t xml:space="preserve">Додатковий навчальний матеріал (посилання на використану літературу, відео курси, журнальні статті і </w:t>
      </w:r>
      <w:proofErr w:type="spellStart"/>
      <w:r w:rsidRPr="001528E6">
        <w:rPr>
          <w:rFonts w:ascii="Arial" w:hAnsi="Arial" w:cs="Arial"/>
          <w:sz w:val="24"/>
          <w:szCs w:val="24"/>
        </w:rPr>
        <w:t>т.д</w:t>
      </w:r>
      <w:proofErr w:type="spellEnd"/>
      <w:r w:rsidRPr="001528E6">
        <w:rPr>
          <w:rFonts w:ascii="Arial" w:hAnsi="Arial" w:cs="Arial"/>
          <w:sz w:val="24"/>
          <w:szCs w:val="24"/>
        </w:rPr>
        <w:t xml:space="preserve">.) можуть бути рекомендовані у вигляді роздаткового матеріалу надісланого учасникам через </w:t>
      </w:r>
      <w:proofErr w:type="spellStart"/>
      <w:r w:rsidRPr="001528E6">
        <w:rPr>
          <w:rFonts w:ascii="Arial" w:hAnsi="Arial" w:cs="Arial"/>
          <w:sz w:val="24"/>
          <w:szCs w:val="24"/>
        </w:rPr>
        <w:t>вебсередовище</w:t>
      </w:r>
      <w:proofErr w:type="spellEnd"/>
      <w:r w:rsidRPr="001528E6">
        <w:rPr>
          <w:rFonts w:ascii="Arial" w:hAnsi="Arial" w:cs="Arial"/>
          <w:sz w:val="24"/>
          <w:szCs w:val="24"/>
        </w:rPr>
        <w:t>.</w:t>
      </w:r>
    </w:p>
    <w:p w14:paraId="2757D99B" w14:textId="40AF934D" w:rsidR="001528E6" w:rsidRPr="001528E6" w:rsidRDefault="001528E6" w:rsidP="00A329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 xml:space="preserve"> </w:t>
      </w:r>
      <w:r w:rsidR="00A32983">
        <w:rPr>
          <w:rFonts w:ascii="Arial" w:hAnsi="Arial" w:cs="Arial"/>
          <w:sz w:val="24"/>
          <w:szCs w:val="24"/>
        </w:rPr>
        <w:tab/>
      </w:r>
      <w:r w:rsidRPr="001528E6">
        <w:rPr>
          <w:rFonts w:ascii="Arial" w:hAnsi="Arial" w:cs="Arial"/>
          <w:b/>
          <w:sz w:val="24"/>
          <w:szCs w:val="24"/>
        </w:rPr>
        <w:t>2.</w:t>
      </w:r>
      <w:r w:rsidRPr="001528E6">
        <w:rPr>
          <w:rFonts w:ascii="Arial" w:eastAsia="Times New Roman" w:hAnsi="Arial" w:cs="Arial"/>
          <w:sz w:val="14"/>
          <w:szCs w:val="14"/>
        </w:rPr>
        <w:t xml:space="preserve">    </w:t>
      </w:r>
      <w:r w:rsidRPr="001528E6">
        <w:rPr>
          <w:rFonts w:ascii="Arial" w:hAnsi="Arial" w:cs="Arial"/>
          <w:b/>
          <w:sz w:val="24"/>
          <w:szCs w:val="24"/>
        </w:rPr>
        <w:t>Обов’язки Виконавця:</w:t>
      </w:r>
    </w:p>
    <w:p w14:paraId="7043D25E" w14:textId="77777777" w:rsidR="001528E6" w:rsidRPr="001528E6" w:rsidRDefault="001528E6" w:rsidP="001528E6">
      <w:pPr>
        <w:ind w:firstLine="420"/>
        <w:jc w:val="both"/>
        <w:rPr>
          <w:rFonts w:ascii="Arial" w:hAnsi="Arial" w:cs="Arial"/>
          <w:sz w:val="24"/>
          <w:szCs w:val="24"/>
          <w:highlight w:val="white"/>
        </w:rPr>
      </w:pPr>
      <w:r w:rsidRPr="001528E6">
        <w:rPr>
          <w:rFonts w:ascii="Arial" w:hAnsi="Arial" w:cs="Arial"/>
          <w:sz w:val="24"/>
          <w:szCs w:val="24"/>
        </w:rPr>
        <w:t>2.1.</w:t>
      </w:r>
      <w:r w:rsidRPr="001528E6">
        <w:rPr>
          <w:rFonts w:ascii="Arial" w:eastAsia="Times New Roman" w:hAnsi="Arial" w:cs="Arial"/>
          <w:sz w:val="14"/>
          <w:szCs w:val="14"/>
        </w:rPr>
        <w:t xml:space="preserve">             </w:t>
      </w:r>
      <w:r w:rsidRPr="001528E6">
        <w:rPr>
          <w:rFonts w:ascii="Arial" w:hAnsi="Arial" w:cs="Arial"/>
          <w:sz w:val="24"/>
          <w:szCs w:val="24"/>
        </w:rPr>
        <w:t xml:space="preserve">Розробити програму підвищення кваліфікації відповідно до Вимог до змісту і структури програм підвищення кваліфікації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 затверджених Наказом Національного агентства України з питань державної служби №107-22 від 02.11.2022р., за формою </w:t>
      </w:r>
      <w:r w:rsidRPr="001528E6">
        <w:rPr>
          <w:rFonts w:ascii="Arial" w:hAnsi="Arial" w:cs="Arial"/>
          <w:sz w:val="24"/>
          <w:szCs w:val="24"/>
          <w:highlight w:val="white"/>
        </w:rPr>
        <w:t>01-ПН та погодити її з Замовником не пізніше ніж за два тижні до початку навчання.</w:t>
      </w:r>
    </w:p>
    <w:p w14:paraId="74EA4FCA" w14:textId="77777777" w:rsidR="001528E6" w:rsidRPr="001528E6" w:rsidRDefault="001528E6" w:rsidP="001528E6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2.2.</w:t>
      </w:r>
      <w:r w:rsidRPr="001528E6">
        <w:rPr>
          <w:rFonts w:ascii="Arial" w:eastAsia="Times New Roman" w:hAnsi="Arial" w:cs="Arial"/>
          <w:sz w:val="14"/>
          <w:szCs w:val="14"/>
        </w:rPr>
        <w:t xml:space="preserve">           </w:t>
      </w:r>
      <w:r w:rsidRPr="001528E6">
        <w:rPr>
          <w:rFonts w:ascii="Arial" w:hAnsi="Arial" w:cs="Arial"/>
          <w:sz w:val="24"/>
          <w:szCs w:val="24"/>
        </w:rPr>
        <w:t xml:space="preserve">Забезпечити </w:t>
      </w:r>
      <w:proofErr w:type="spellStart"/>
      <w:r w:rsidRPr="001528E6">
        <w:rPr>
          <w:rFonts w:ascii="Arial" w:hAnsi="Arial" w:cs="Arial"/>
          <w:sz w:val="24"/>
          <w:szCs w:val="24"/>
        </w:rPr>
        <w:t>вебсередовище</w:t>
      </w:r>
      <w:proofErr w:type="spellEnd"/>
      <w:r w:rsidRPr="001528E6">
        <w:rPr>
          <w:rFonts w:ascii="Arial" w:hAnsi="Arial" w:cs="Arial"/>
          <w:sz w:val="24"/>
          <w:szCs w:val="24"/>
        </w:rPr>
        <w:t xml:space="preserve"> для дистанційного навчання.</w:t>
      </w:r>
    </w:p>
    <w:p w14:paraId="5C03EB19" w14:textId="77777777" w:rsidR="001528E6" w:rsidRPr="001528E6" w:rsidRDefault="001528E6" w:rsidP="001528E6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2.3.</w:t>
      </w:r>
      <w:r w:rsidRPr="001528E6">
        <w:rPr>
          <w:rFonts w:ascii="Arial" w:eastAsia="Times New Roman" w:hAnsi="Arial" w:cs="Arial"/>
          <w:sz w:val="14"/>
          <w:szCs w:val="14"/>
        </w:rPr>
        <w:t xml:space="preserve">   </w:t>
      </w:r>
      <w:r w:rsidRPr="001528E6">
        <w:rPr>
          <w:rFonts w:ascii="Arial" w:hAnsi="Arial" w:cs="Arial"/>
          <w:sz w:val="24"/>
          <w:szCs w:val="24"/>
        </w:rPr>
        <w:t xml:space="preserve">Забезпечити необхідну матеріально-технічну базу (безперебійний доступ до мережі </w:t>
      </w:r>
      <w:proofErr w:type="spellStart"/>
      <w:r w:rsidRPr="001528E6">
        <w:rPr>
          <w:rFonts w:ascii="Arial" w:hAnsi="Arial" w:cs="Arial"/>
          <w:sz w:val="24"/>
          <w:szCs w:val="24"/>
        </w:rPr>
        <w:t>Internet</w:t>
      </w:r>
      <w:proofErr w:type="spellEnd"/>
      <w:r w:rsidRPr="001528E6">
        <w:rPr>
          <w:rFonts w:ascii="Arial" w:hAnsi="Arial" w:cs="Arial"/>
          <w:sz w:val="24"/>
          <w:szCs w:val="24"/>
        </w:rPr>
        <w:t>, персональні комп’ютери з відеокамерами та мікрофонами для викладачів та інше обладнання для проведення дистанційного навчання).</w:t>
      </w:r>
    </w:p>
    <w:p w14:paraId="1D5EFB85" w14:textId="77777777" w:rsidR="001528E6" w:rsidRPr="001528E6" w:rsidRDefault="001528E6" w:rsidP="001528E6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1528E6">
        <w:rPr>
          <w:rFonts w:ascii="Arial" w:hAnsi="Arial" w:cs="Arial"/>
          <w:sz w:val="24"/>
          <w:szCs w:val="24"/>
        </w:rPr>
        <w:t>2.4.</w:t>
      </w:r>
      <w:r w:rsidRPr="001528E6">
        <w:rPr>
          <w:rFonts w:ascii="Arial" w:eastAsia="Times New Roman" w:hAnsi="Arial" w:cs="Arial"/>
          <w:sz w:val="14"/>
          <w:szCs w:val="14"/>
        </w:rPr>
        <w:t xml:space="preserve"> </w:t>
      </w:r>
      <w:r w:rsidRPr="001528E6">
        <w:rPr>
          <w:rFonts w:ascii="Arial" w:hAnsi="Arial" w:cs="Arial"/>
          <w:sz w:val="24"/>
          <w:szCs w:val="24"/>
          <w:highlight w:val="white"/>
        </w:rPr>
        <w:t xml:space="preserve">Забезпечити доступ до навчальних матеріалів через </w:t>
      </w:r>
      <w:proofErr w:type="spellStart"/>
      <w:r w:rsidRPr="001528E6">
        <w:rPr>
          <w:rFonts w:ascii="Arial" w:hAnsi="Arial" w:cs="Arial"/>
          <w:sz w:val="24"/>
          <w:szCs w:val="24"/>
          <w:highlight w:val="white"/>
        </w:rPr>
        <w:t>вебсередовище</w:t>
      </w:r>
      <w:proofErr w:type="spellEnd"/>
      <w:r w:rsidRPr="001528E6">
        <w:rPr>
          <w:rFonts w:ascii="Arial" w:hAnsi="Arial" w:cs="Arial"/>
          <w:sz w:val="24"/>
          <w:szCs w:val="24"/>
          <w:highlight w:val="white"/>
        </w:rPr>
        <w:t xml:space="preserve"> дистанційного навчання в режимі реального часу для учасників професійного навчання та представників Замовника.</w:t>
      </w:r>
    </w:p>
    <w:p w14:paraId="5FE3E432" w14:textId="77777777" w:rsidR="001528E6" w:rsidRPr="001528E6" w:rsidRDefault="001528E6" w:rsidP="001528E6">
      <w:pPr>
        <w:ind w:firstLine="420"/>
        <w:jc w:val="both"/>
        <w:rPr>
          <w:rFonts w:ascii="Arial" w:hAnsi="Arial" w:cs="Arial"/>
          <w:i/>
          <w:color w:val="980000"/>
          <w:sz w:val="24"/>
          <w:szCs w:val="24"/>
          <w:highlight w:val="white"/>
        </w:rPr>
      </w:pPr>
      <w:r w:rsidRPr="001528E6">
        <w:rPr>
          <w:rFonts w:ascii="Arial" w:hAnsi="Arial" w:cs="Arial"/>
          <w:sz w:val="24"/>
          <w:szCs w:val="24"/>
        </w:rPr>
        <w:t xml:space="preserve">2.5. </w:t>
      </w:r>
      <w:r w:rsidRPr="001528E6">
        <w:rPr>
          <w:rFonts w:ascii="Arial" w:hAnsi="Arial" w:cs="Arial"/>
          <w:sz w:val="24"/>
          <w:szCs w:val="24"/>
          <w:highlight w:val="white"/>
        </w:rPr>
        <w:t>Залучити до організації навчання викладачів високого рівня кваліфікації.</w:t>
      </w:r>
    </w:p>
    <w:p w14:paraId="44B64BEC" w14:textId="77777777" w:rsidR="001528E6" w:rsidRPr="001528E6" w:rsidRDefault="001528E6" w:rsidP="001528E6">
      <w:pPr>
        <w:ind w:firstLine="420"/>
        <w:jc w:val="both"/>
        <w:rPr>
          <w:rFonts w:ascii="Arial" w:hAnsi="Arial" w:cs="Arial"/>
          <w:sz w:val="24"/>
          <w:szCs w:val="24"/>
          <w:highlight w:val="white"/>
        </w:rPr>
      </w:pPr>
      <w:r w:rsidRPr="001528E6">
        <w:rPr>
          <w:rFonts w:ascii="Arial" w:hAnsi="Arial" w:cs="Arial"/>
          <w:sz w:val="24"/>
          <w:szCs w:val="24"/>
        </w:rPr>
        <w:t xml:space="preserve">2.6. </w:t>
      </w:r>
      <w:r w:rsidRPr="001528E6">
        <w:rPr>
          <w:rFonts w:ascii="Arial" w:hAnsi="Arial" w:cs="Arial"/>
          <w:sz w:val="24"/>
          <w:szCs w:val="24"/>
          <w:highlight w:val="white"/>
        </w:rPr>
        <w:t>Здійснювати організаційний супровід кожної групи відповідно до погодженої програми та плану-графіку.</w:t>
      </w:r>
    </w:p>
    <w:p w14:paraId="208B7CF2" w14:textId="77777777" w:rsidR="001528E6" w:rsidRPr="001528E6" w:rsidRDefault="001528E6" w:rsidP="001528E6">
      <w:pPr>
        <w:ind w:firstLine="420"/>
        <w:jc w:val="both"/>
        <w:rPr>
          <w:rFonts w:ascii="Arial" w:hAnsi="Arial" w:cs="Arial"/>
          <w:sz w:val="26"/>
          <w:szCs w:val="26"/>
          <w:highlight w:val="white"/>
        </w:rPr>
      </w:pPr>
      <w:r w:rsidRPr="001528E6">
        <w:rPr>
          <w:rFonts w:ascii="Arial" w:hAnsi="Arial" w:cs="Arial"/>
          <w:sz w:val="24"/>
          <w:szCs w:val="24"/>
        </w:rPr>
        <w:t xml:space="preserve">2.7. </w:t>
      </w:r>
      <w:r w:rsidRPr="001528E6">
        <w:rPr>
          <w:rFonts w:ascii="Arial" w:hAnsi="Arial" w:cs="Arial"/>
          <w:sz w:val="26"/>
          <w:szCs w:val="26"/>
          <w:highlight w:val="white"/>
        </w:rPr>
        <w:t xml:space="preserve">Після успішного завершення навчання, видати кожному учаснику іменний сертифікат про підвищення кваліфікацій встановленого зразка. </w:t>
      </w:r>
    </w:p>
    <w:p w14:paraId="250905B5" w14:textId="77777777" w:rsidR="001528E6" w:rsidRPr="001528E6" w:rsidRDefault="001528E6" w:rsidP="001528E6">
      <w:pPr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 w:rsidRPr="001528E6">
        <w:rPr>
          <w:rFonts w:ascii="Arial" w:hAnsi="Arial" w:cs="Arial"/>
          <w:b/>
          <w:sz w:val="24"/>
          <w:szCs w:val="24"/>
        </w:rPr>
        <w:t>3.</w:t>
      </w:r>
      <w:r w:rsidRPr="001528E6">
        <w:rPr>
          <w:rFonts w:ascii="Arial" w:eastAsia="Times New Roman" w:hAnsi="Arial" w:cs="Arial"/>
          <w:sz w:val="14"/>
          <w:szCs w:val="14"/>
        </w:rPr>
        <w:t xml:space="preserve">    </w:t>
      </w:r>
      <w:r w:rsidRPr="001528E6">
        <w:rPr>
          <w:rFonts w:ascii="Arial" w:hAnsi="Arial" w:cs="Arial"/>
          <w:b/>
          <w:sz w:val="24"/>
          <w:szCs w:val="24"/>
        </w:rPr>
        <w:t>Обсяг надання послуг:</w:t>
      </w:r>
    </w:p>
    <w:tbl>
      <w:tblPr>
        <w:tblStyle w:val="12"/>
        <w:tblpPr w:leftFromText="180" w:rightFromText="180" w:horzAnchor="margin" w:tblpY="2955"/>
        <w:tblW w:w="9209" w:type="dxa"/>
        <w:tblLook w:val="04A0" w:firstRow="1" w:lastRow="0" w:firstColumn="1" w:lastColumn="0" w:noHBand="0" w:noVBand="1"/>
      </w:tblPr>
      <w:tblGrid>
        <w:gridCol w:w="739"/>
        <w:gridCol w:w="2435"/>
        <w:gridCol w:w="1433"/>
        <w:gridCol w:w="1752"/>
        <w:gridCol w:w="1415"/>
        <w:gridCol w:w="1435"/>
      </w:tblGrid>
      <w:tr w:rsidR="001528E6" w:rsidRPr="001528E6" w14:paraId="2FCDEF91" w14:textId="77777777" w:rsidTr="001528E6">
        <w:tc>
          <w:tcPr>
            <w:tcW w:w="739" w:type="dxa"/>
          </w:tcPr>
          <w:p w14:paraId="662CC412" w14:textId="77777777" w:rsidR="001528E6" w:rsidRPr="001528E6" w:rsidRDefault="001528E6" w:rsidP="006E6641">
            <w:pPr>
              <w:spacing w:after="160" w:line="278" w:lineRule="auto"/>
              <w:ind w:right="-5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lastRenderedPageBreak/>
              <w:t>№ з/п</w:t>
            </w:r>
          </w:p>
        </w:tc>
        <w:tc>
          <w:tcPr>
            <w:tcW w:w="2435" w:type="dxa"/>
          </w:tcPr>
          <w:p w14:paraId="5E6AE624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Орієнтовні напрями</w:t>
            </w:r>
          </w:p>
        </w:tc>
        <w:tc>
          <w:tcPr>
            <w:tcW w:w="1433" w:type="dxa"/>
          </w:tcPr>
          <w:p w14:paraId="460BD9BB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Обсяг програми  (кредити ЄКТС)</w:t>
            </w:r>
          </w:p>
        </w:tc>
        <w:tc>
          <w:tcPr>
            <w:tcW w:w="1752" w:type="dxa"/>
          </w:tcPr>
          <w:p w14:paraId="4FACAEED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Період навчання</w:t>
            </w:r>
          </w:p>
          <w:p w14:paraId="2EBFABB1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28E6">
              <w:rPr>
                <w:rFonts w:ascii="Arial" w:hAnsi="Arial" w:cs="Arial"/>
                <w:i/>
                <w:iCs/>
                <w:sz w:val="20"/>
                <w:szCs w:val="20"/>
              </w:rPr>
              <w:t>*(вказати точні періоди навчання з вересня по листопад)</w:t>
            </w:r>
          </w:p>
        </w:tc>
        <w:tc>
          <w:tcPr>
            <w:tcW w:w="1415" w:type="dxa"/>
          </w:tcPr>
          <w:p w14:paraId="0A2A66DE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Кількість слухачів в групі (осіб)</w:t>
            </w:r>
          </w:p>
        </w:tc>
        <w:tc>
          <w:tcPr>
            <w:tcW w:w="1435" w:type="dxa"/>
          </w:tcPr>
          <w:p w14:paraId="17B903A8" w14:textId="77777777" w:rsidR="001528E6" w:rsidRPr="001528E6" w:rsidRDefault="001528E6" w:rsidP="006E6641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Загальна кількість слухачів (осіб)</w:t>
            </w:r>
          </w:p>
        </w:tc>
      </w:tr>
      <w:tr w:rsidR="001528E6" w:rsidRPr="001528E6" w14:paraId="56C56C53" w14:textId="77777777" w:rsidTr="001528E6">
        <w:tc>
          <w:tcPr>
            <w:tcW w:w="739" w:type="dxa"/>
          </w:tcPr>
          <w:p w14:paraId="0A6C559C" w14:textId="77777777" w:rsidR="001528E6" w:rsidRPr="001528E6" w:rsidRDefault="001528E6" w:rsidP="006E6641">
            <w:pPr>
              <w:spacing w:after="160" w:line="278" w:lineRule="auto"/>
              <w:ind w:right="281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5" w:type="dxa"/>
          </w:tcPr>
          <w:p w14:paraId="791D0388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Антикорупційна тематика (доброчесність, запобігання корупції, стандарти доброчесної та етичної поведінки)</w:t>
            </w:r>
          </w:p>
        </w:tc>
        <w:tc>
          <w:tcPr>
            <w:tcW w:w="1433" w:type="dxa"/>
            <w:vMerge w:val="restart"/>
          </w:tcPr>
          <w:p w14:paraId="691D6BA5" w14:textId="77777777" w:rsidR="001528E6" w:rsidRPr="001528E6" w:rsidRDefault="001528E6" w:rsidP="006E6641">
            <w:pPr>
              <w:spacing w:before="240"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B780DE" w14:textId="77777777" w:rsidR="001528E6" w:rsidRPr="001528E6" w:rsidRDefault="001528E6" w:rsidP="006E6641">
            <w:pPr>
              <w:spacing w:before="240"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D79C04" w14:textId="77777777" w:rsidR="001528E6" w:rsidRPr="001528E6" w:rsidRDefault="001528E6" w:rsidP="006E6641">
            <w:pPr>
              <w:spacing w:before="240"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89175A" w14:textId="77777777" w:rsidR="001528E6" w:rsidRPr="001528E6" w:rsidRDefault="001528E6" w:rsidP="006E6641">
            <w:pPr>
              <w:spacing w:before="240"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519FA0" w14:textId="77777777" w:rsidR="001528E6" w:rsidRPr="001528E6" w:rsidRDefault="001528E6" w:rsidP="006E6641">
            <w:pPr>
              <w:spacing w:before="240"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65A55B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eastAsia="NSimSun" w:hAnsi="Arial" w:cs="Arial"/>
                <w:sz w:val="20"/>
                <w:szCs w:val="20"/>
              </w:rPr>
              <w:t>Від 2 ЄКТС</w:t>
            </w:r>
          </w:p>
        </w:tc>
        <w:tc>
          <w:tcPr>
            <w:tcW w:w="1752" w:type="dxa"/>
          </w:tcPr>
          <w:p w14:paraId="3E853A92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824DAD1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14:paraId="58EB4D5B" w14:textId="77777777" w:rsidR="001528E6" w:rsidRPr="001528E6" w:rsidRDefault="001528E6" w:rsidP="006E6641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37632" w14:textId="77777777" w:rsidR="001528E6" w:rsidRPr="001528E6" w:rsidRDefault="001528E6" w:rsidP="006E6641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DA49B5" w14:textId="77777777" w:rsidR="001528E6" w:rsidRPr="001528E6" w:rsidRDefault="001528E6" w:rsidP="006E6641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4A9406" w14:textId="77777777" w:rsidR="001528E6" w:rsidRPr="001528E6" w:rsidRDefault="001528E6" w:rsidP="006E6641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D79E7" w14:textId="77777777" w:rsidR="001528E6" w:rsidRPr="001528E6" w:rsidRDefault="001528E6" w:rsidP="006E6641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DA76F3" w14:textId="77777777" w:rsidR="001528E6" w:rsidRPr="001528E6" w:rsidRDefault="001528E6" w:rsidP="006E6641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120E90" w14:textId="77777777" w:rsidR="001528E6" w:rsidRPr="001528E6" w:rsidRDefault="001528E6" w:rsidP="006E6641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735</w:t>
            </w:r>
          </w:p>
        </w:tc>
      </w:tr>
      <w:tr w:rsidR="001528E6" w:rsidRPr="001528E6" w14:paraId="6423CB27" w14:textId="77777777" w:rsidTr="001528E6">
        <w:tc>
          <w:tcPr>
            <w:tcW w:w="739" w:type="dxa"/>
          </w:tcPr>
          <w:p w14:paraId="6ED986F7" w14:textId="77777777" w:rsidR="001528E6" w:rsidRPr="001528E6" w:rsidRDefault="001528E6" w:rsidP="006E6641">
            <w:pPr>
              <w:spacing w:after="160" w:line="278" w:lineRule="auto"/>
              <w:ind w:right="281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5" w:type="dxa"/>
          </w:tcPr>
          <w:p w14:paraId="2A1B9144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Інформаційна безпека (з включенням тем щодо гібридних загроз, боротьби з дезінформацією та маніпулятивним контентом)</w:t>
            </w:r>
          </w:p>
        </w:tc>
        <w:tc>
          <w:tcPr>
            <w:tcW w:w="1433" w:type="dxa"/>
            <w:vMerge/>
          </w:tcPr>
          <w:p w14:paraId="7EA0A7F4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4583C11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8053EE6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14:paraId="7C4AFEF4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8E6" w:rsidRPr="001528E6" w14:paraId="61B4D546" w14:textId="77777777" w:rsidTr="001528E6">
        <w:tc>
          <w:tcPr>
            <w:tcW w:w="739" w:type="dxa"/>
          </w:tcPr>
          <w:p w14:paraId="4C358264" w14:textId="77777777" w:rsidR="001528E6" w:rsidRPr="001528E6" w:rsidRDefault="001528E6" w:rsidP="006E6641">
            <w:pPr>
              <w:spacing w:after="160" w:line="278" w:lineRule="auto"/>
              <w:ind w:right="281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5" w:type="dxa"/>
            <w:shd w:val="clear" w:color="auto" w:fill="auto"/>
          </w:tcPr>
          <w:p w14:paraId="3BD80D65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Комунікація та взаємодія</w:t>
            </w:r>
          </w:p>
        </w:tc>
        <w:tc>
          <w:tcPr>
            <w:tcW w:w="1433" w:type="dxa"/>
            <w:vMerge/>
          </w:tcPr>
          <w:p w14:paraId="6A86B813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4D50AFAE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B708CF0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14:paraId="17DBAE27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8E6" w:rsidRPr="001528E6" w14:paraId="3DB1CC2A" w14:textId="77777777" w:rsidTr="001528E6">
        <w:tc>
          <w:tcPr>
            <w:tcW w:w="739" w:type="dxa"/>
          </w:tcPr>
          <w:p w14:paraId="7166C6BA" w14:textId="77777777" w:rsidR="001528E6" w:rsidRPr="001528E6" w:rsidRDefault="001528E6" w:rsidP="006E6641">
            <w:pPr>
              <w:spacing w:after="160" w:line="278" w:lineRule="auto"/>
              <w:ind w:right="281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5" w:type="dxa"/>
          </w:tcPr>
          <w:p w14:paraId="0EE2C7C8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Стратегічне управління та Планування</w:t>
            </w:r>
          </w:p>
        </w:tc>
        <w:tc>
          <w:tcPr>
            <w:tcW w:w="1433" w:type="dxa"/>
            <w:vMerge/>
          </w:tcPr>
          <w:p w14:paraId="2D170106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68F13F3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9FD4A24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14:paraId="2511FA08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8E6" w:rsidRPr="001528E6" w14:paraId="0C94DF26" w14:textId="77777777" w:rsidTr="001528E6">
        <w:tc>
          <w:tcPr>
            <w:tcW w:w="739" w:type="dxa"/>
          </w:tcPr>
          <w:p w14:paraId="68F23721" w14:textId="77777777" w:rsidR="001528E6" w:rsidRPr="001528E6" w:rsidRDefault="001528E6" w:rsidP="006E6641">
            <w:pPr>
              <w:spacing w:after="160" w:line="278" w:lineRule="auto"/>
              <w:ind w:right="281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5" w:type="dxa"/>
          </w:tcPr>
          <w:p w14:paraId="2F39DEF5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Удосконалення рівня володіння державною мовою (Ділове українське мовлення. Український правопис, враховуючи останні зміни та доповнення)</w:t>
            </w:r>
          </w:p>
        </w:tc>
        <w:tc>
          <w:tcPr>
            <w:tcW w:w="1433" w:type="dxa"/>
            <w:vMerge/>
          </w:tcPr>
          <w:p w14:paraId="5A2B1B0B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42B95E1F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C5C9F08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14:paraId="684DD297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8E6" w:rsidRPr="001528E6" w14:paraId="2674B004" w14:textId="77777777" w:rsidTr="001528E6">
        <w:tc>
          <w:tcPr>
            <w:tcW w:w="739" w:type="dxa"/>
          </w:tcPr>
          <w:p w14:paraId="464164AF" w14:textId="77777777" w:rsidR="001528E6" w:rsidRPr="001528E6" w:rsidRDefault="001528E6" w:rsidP="006E6641">
            <w:pPr>
              <w:spacing w:after="160" w:line="278" w:lineRule="auto"/>
              <w:ind w:right="281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5" w:type="dxa"/>
          </w:tcPr>
          <w:p w14:paraId="55C06A09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Охорона праці на підприємствах та установах на державній службі та службі в органах місцевого самоврядування</w:t>
            </w:r>
          </w:p>
        </w:tc>
        <w:tc>
          <w:tcPr>
            <w:tcW w:w="1433" w:type="dxa"/>
            <w:vMerge/>
          </w:tcPr>
          <w:p w14:paraId="51B0BAA7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3F57B47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B8707C4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14:paraId="0641D428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8E6" w:rsidRPr="001528E6" w14:paraId="63C7AFB8" w14:textId="77777777" w:rsidTr="001528E6">
        <w:tc>
          <w:tcPr>
            <w:tcW w:w="739" w:type="dxa"/>
          </w:tcPr>
          <w:p w14:paraId="659146BE" w14:textId="77777777" w:rsidR="001528E6" w:rsidRPr="001528E6" w:rsidRDefault="001528E6" w:rsidP="006E6641">
            <w:pPr>
              <w:spacing w:after="160" w:line="278" w:lineRule="auto"/>
              <w:ind w:right="281"/>
              <w:rPr>
                <w:rFonts w:ascii="Arial" w:hAnsi="Arial" w:cs="Arial"/>
                <w:sz w:val="20"/>
                <w:szCs w:val="20"/>
              </w:rPr>
            </w:pPr>
            <w:r w:rsidRPr="001528E6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435" w:type="dxa"/>
          </w:tcPr>
          <w:p w14:paraId="1153D732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</w:tcPr>
          <w:p w14:paraId="5873496B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59D466CF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4790457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71A86215" w14:textId="77777777" w:rsidR="001528E6" w:rsidRPr="001528E6" w:rsidRDefault="001528E6" w:rsidP="006E664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AD1BDA" w14:textId="77777777" w:rsidR="001528E6" w:rsidRPr="001528E6" w:rsidRDefault="001528E6" w:rsidP="004C31CF">
      <w:pPr>
        <w:spacing w:line="278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sectPr w:rsidR="001528E6" w:rsidRPr="001528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F3"/>
    <w:rsid w:val="00031E06"/>
    <w:rsid w:val="000A109C"/>
    <w:rsid w:val="000B2E0A"/>
    <w:rsid w:val="00145B9A"/>
    <w:rsid w:val="00150EF2"/>
    <w:rsid w:val="001528E6"/>
    <w:rsid w:val="0019528A"/>
    <w:rsid w:val="001D28E0"/>
    <w:rsid w:val="00215BF1"/>
    <w:rsid w:val="00244277"/>
    <w:rsid w:val="00272568"/>
    <w:rsid w:val="00280347"/>
    <w:rsid w:val="0028468D"/>
    <w:rsid w:val="002951BE"/>
    <w:rsid w:val="00314B1C"/>
    <w:rsid w:val="00317EF7"/>
    <w:rsid w:val="003229C3"/>
    <w:rsid w:val="00342769"/>
    <w:rsid w:val="003659CA"/>
    <w:rsid w:val="003942A7"/>
    <w:rsid w:val="003B3710"/>
    <w:rsid w:val="003B64FB"/>
    <w:rsid w:val="003F013E"/>
    <w:rsid w:val="00401F56"/>
    <w:rsid w:val="004C31CF"/>
    <w:rsid w:val="004D7181"/>
    <w:rsid w:val="005050B8"/>
    <w:rsid w:val="00552869"/>
    <w:rsid w:val="0055647C"/>
    <w:rsid w:val="005A6467"/>
    <w:rsid w:val="005D782E"/>
    <w:rsid w:val="005F36CC"/>
    <w:rsid w:val="00602093"/>
    <w:rsid w:val="00635EF3"/>
    <w:rsid w:val="006672FC"/>
    <w:rsid w:val="006823B8"/>
    <w:rsid w:val="00686311"/>
    <w:rsid w:val="006B13D8"/>
    <w:rsid w:val="006F0380"/>
    <w:rsid w:val="00701135"/>
    <w:rsid w:val="00732538"/>
    <w:rsid w:val="007479C6"/>
    <w:rsid w:val="00775038"/>
    <w:rsid w:val="007C4EC5"/>
    <w:rsid w:val="007F5362"/>
    <w:rsid w:val="0083137E"/>
    <w:rsid w:val="00850951"/>
    <w:rsid w:val="00874AF3"/>
    <w:rsid w:val="008C19A0"/>
    <w:rsid w:val="008E556A"/>
    <w:rsid w:val="008F05F8"/>
    <w:rsid w:val="008F21AC"/>
    <w:rsid w:val="00903A2C"/>
    <w:rsid w:val="00930F5B"/>
    <w:rsid w:val="009A2DC8"/>
    <w:rsid w:val="009B1233"/>
    <w:rsid w:val="009E7632"/>
    <w:rsid w:val="00A0792B"/>
    <w:rsid w:val="00A32983"/>
    <w:rsid w:val="00A51A04"/>
    <w:rsid w:val="00A62BD9"/>
    <w:rsid w:val="00A62CF5"/>
    <w:rsid w:val="00A8147A"/>
    <w:rsid w:val="00AA1A1A"/>
    <w:rsid w:val="00AF7989"/>
    <w:rsid w:val="00B22AAB"/>
    <w:rsid w:val="00B23AA6"/>
    <w:rsid w:val="00B2438E"/>
    <w:rsid w:val="00B4402D"/>
    <w:rsid w:val="00B66B3A"/>
    <w:rsid w:val="00B81EEB"/>
    <w:rsid w:val="00BF4BE9"/>
    <w:rsid w:val="00C2412B"/>
    <w:rsid w:val="00C51CBB"/>
    <w:rsid w:val="00C61D18"/>
    <w:rsid w:val="00C9094C"/>
    <w:rsid w:val="00CE6E55"/>
    <w:rsid w:val="00D12A72"/>
    <w:rsid w:val="00D13014"/>
    <w:rsid w:val="00D5629D"/>
    <w:rsid w:val="00D956A6"/>
    <w:rsid w:val="00DB76BE"/>
    <w:rsid w:val="00DC429A"/>
    <w:rsid w:val="00E10AC3"/>
    <w:rsid w:val="00E121B8"/>
    <w:rsid w:val="00E6232E"/>
    <w:rsid w:val="00E77924"/>
    <w:rsid w:val="00F36C84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68"/>
  </w:style>
  <w:style w:type="paragraph" w:styleId="1">
    <w:name w:val="heading 1"/>
    <w:basedOn w:val="a"/>
    <w:link w:val="10"/>
    <w:uiPriority w:val="9"/>
    <w:qFormat/>
    <w:rsid w:val="00D95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956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D956A6"/>
  </w:style>
  <w:style w:type="character" w:customStyle="1" w:styleId="value">
    <w:name w:val="value"/>
    <w:basedOn w:val="a0"/>
    <w:rsid w:val="006F0380"/>
  </w:style>
  <w:style w:type="character" w:customStyle="1" w:styleId="small">
    <w:name w:val="small"/>
    <w:basedOn w:val="a0"/>
    <w:rsid w:val="006F0380"/>
  </w:style>
  <w:style w:type="table" w:customStyle="1" w:styleId="12">
    <w:name w:val="Сітка таблиці1"/>
    <w:basedOn w:val="a1"/>
    <w:next w:val="a3"/>
    <w:uiPriority w:val="39"/>
    <w:rsid w:val="001528E6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2-15-00468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4C97-D114-45E3-B8F2-1E6415F5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4840</Words>
  <Characters>2760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Гаврильчик Оксана</cp:lastModifiedBy>
  <cp:revision>14</cp:revision>
  <cp:lastPrinted>2023-06-05T07:13:00Z</cp:lastPrinted>
  <dcterms:created xsi:type="dcterms:W3CDTF">2024-07-19T06:08:00Z</dcterms:created>
  <dcterms:modified xsi:type="dcterms:W3CDTF">2024-07-19T08:27:00Z</dcterms:modified>
</cp:coreProperties>
</file>