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Личаківська районна адміністрація Львівської міської ради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на виконання Постанови КМУ від 16.12.2020 №1266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«Про внесення змін до постанов Кабінету Міністрів України від 1 серпня 2013 р. № 631 і від 11 жовтня 2016 р. № 710»</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ТЕХНІКО-ЕКОНОМІЧНЕ ОБГРУНТУВАННЯ</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ТА РОЗРАХУНОК ОЧІКУВАНОЇ ВАРТОСТІ ЗАКУПІВЛІ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Предмет закупівлі: </w:t>
      </w:r>
      <w:r w:rsidDel="00000000" w:rsidR="00000000" w:rsidRPr="00000000">
        <w:rPr>
          <w:rFonts w:ascii="Arial" w:cs="Arial" w:eastAsia="Arial" w:hAnsi="Arial"/>
          <w:b w:val="1"/>
          <w:sz w:val="22"/>
          <w:szCs w:val="22"/>
          <w:rtl w:val="0"/>
        </w:rPr>
        <w:t xml:space="preserve">ДК 021:2015 (CPV) : 45330000-9 Водопровідні та санітарно-технічні роботи (Заходи з усунення аварій в житловому фонді, а саме: послуги з поточного ремонту каналізаційних випусків житлових будинків № 2; 4; 6; 8 на вул. Севастопольській у м. Львові)</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Місце надання послуг: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sz w:val="22"/>
          <w:szCs w:val="22"/>
          <w:rtl w:val="0"/>
        </w:rPr>
        <w:t xml:space="preserve">79010, Україна, м. Львів, житлові будинки № 2; 4; 6; 8 на вул. Севастопольській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Відповідно до Положення про Личаківську РА, затвердженого рішенням виконавчого комітету ЛМР від 02.02.2024  №186 та змінами до нього: Личаківська районна адміністрація в межах своїх повноважень забезпечує благоустрій району.</w:t>
      </w:r>
    </w:p>
    <w:bookmarkStart w:colFirst="0" w:colLast="0" w:name="bookmark=id.30j0zll" w:id="1"/>
    <w:bookmarkEnd w:id="1"/>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Визначення ціни пропозиції, розрахунок договірної ціни і кошторисної документації необхідно здійснювати згідно з   наказом Мінрегіону від 01.11.2021 №281 (кошторисні норми України «Настанова з визначення вартості будівництва»)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З 1 січня 2019 року кошторисна заробітна плата, згідно рішення виконавчого комітету Львівської міської ради від 04.01.2019р. №7 становить 14 800,00 грн.).</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Очікувана вартість предмета закупівлі відповідає затвердженим бюджетним призначенням  на 2024 рік (Ухвала Львівської міської ради від 27.12.2023 №4295 «Про бюджет Львівської міської територіальної громади на 2024 рік»)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Технічні характеристики предмета закупівлі викладені у Додатку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до Тендерної документації на закупівлю послуг</w:t>
      </w:r>
      <w:r w:rsidDel="00000000" w:rsidR="00000000" w:rsidRPr="00000000">
        <w:rPr>
          <w:rFonts w:ascii="Arial" w:cs="Arial" w:eastAsia="Arial" w:hAnsi="Arial"/>
          <w:b w:val="0"/>
          <w:i w:val="0"/>
          <w:smallCaps w:val="0"/>
          <w:strike w:val="0"/>
          <w:color w:val="ff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555555"/>
          <w:sz w:val="20"/>
          <w:szCs w:val="20"/>
          <w:u w:val="none"/>
          <w:shd w:fill="f3f7fa" w:val="clear"/>
          <w:vertAlign w:val="baseline"/>
          <w:rtl w:val="0"/>
        </w:rPr>
        <w:t xml:space="preserve">  </w:t>
      </w:r>
      <w:r w:rsidDel="00000000" w:rsidR="00000000" w:rsidRPr="00000000">
        <w:rPr>
          <w:rFonts w:ascii="Arial" w:cs="Arial" w:eastAsia="Arial" w:hAnsi="Arial"/>
          <w:b w:val="1"/>
          <w:color w:val="c8c8c8"/>
          <w:shd w:fill="22252a" w:val="clear"/>
          <w:rtl w:val="0"/>
        </w:rPr>
        <w:t xml:space="preserve">UA-2024-07-30-005269-a</w:t>
      </w:r>
      <w:r w:rsidDel="00000000" w:rsidR="00000000" w:rsidRPr="00000000">
        <w:rPr>
          <w:rtl w:val="0"/>
        </w:rPr>
      </w:r>
    </w:p>
    <w:tbl>
      <w:tblPr>
        <w:tblStyle w:val="Table1"/>
        <w:tblW w:w="82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5387"/>
        <w:tblGridChange w:id="0">
          <w:tblGrid>
            <w:gridCol w:w="2835"/>
            <w:gridCol w:w="5387"/>
          </w:tblGrid>
        </w:tblGridChange>
      </w:tblGrid>
      <w:tr>
        <w:trPr>
          <w:cantSplit w:val="0"/>
          <w:tblHeader w:val="0"/>
        </w:trPr>
        <w:tc>
          <w:tcP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Період надання послуг</w:t>
            </w:r>
          </w:p>
        </w:tc>
        <w:tc>
          <w:tcP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Очікувана вартість предмета закупівлі, грн.</w:t>
            </w:r>
          </w:p>
        </w:tc>
      </w:tr>
      <w:tr>
        <w:trPr>
          <w:cantSplit w:val="0"/>
          <w:tblHeader w:val="0"/>
        </w:trPr>
        <w:tc>
          <w:tcP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31.12.2024</w:t>
            </w:r>
            <w:r w:rsidDel="00000000" w:rsidR="00000000" w:rsidRPr="00000000">
              <w:rPr>
                <w:rtl w:val="0"/>
              </w:rPr>
            </w:r>
          </w:p>
        </w:tc>
        <w:tc>
          <w:tcPr>
            <w:vAlign w:val="top"/>
          </w:tcPr>
          <w:p w:rsidR="00000000" w:rsidDel="00000000" w:rsidP="00000000" w:rsidRDefault="00000000" w:rsidRPr="00000000" w14:paraId="00000018">
            <w:pPr>
              <w:spacing w:after="200" w:lineRule="auto"/>
              <w:ind w:firstLine="708"/>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sz w:val="24"/>
                <w:szCs w:val="24"/>
                <w:rtl w:val="0"/>
              </w:rPr>
              <w:t xml:space="preserve">                    405 000 ,00</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Кошти для проведення закупівлі даних послуг передбачено по КПКВК МБ «Загальний фонд» </w:t>
      </w:r>
    </w:p>
    <w:sectPr>
      <w:pgSz w:h="16838" w:w="11906" w:orient="portrait"/>
      <w:pgMar w:bottom="850" w:top="709"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Звичайний"/>
    <w:next w:val="Звичайни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ru-RU" w:val="ru-RU"/>
    </w:rPr>
  </w:style>
  <w:style w:type="character" w:styleId="Шрифтабзацузапромовчанням">
    <w:name w:val="Шрифт абзацу за промовчанням"/>
    <w:next w:val="Шрифтабзацузапромовчанням"/>
    <w:autoRedefine w:val="0"/>
    <w:hidden w:val="0"/>
    <w:qFormat w:val="0"/>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0"/>
    <w:pPr>
      <w:suppressAutoHyphens w:val="1"/>
      <w:spacing w:line="1" w:lineRule="atLeast"/>
      <w:ind w:leftChars="-1" w:rightChars="0" w:firstLineChars="-1"/>
      <w:textDirection w:val="btLr"/>
      <w:textAlignment w:val="top"/>
      <w:outlineLvl w:val="0"/>
    </w:pPr>
  </w:style>
  <w:style w:type="paragraph" w:styleId="Текстувиносці">
    <w:name w:val="Текст у виносці"/>
    <w:basedOn w:val="Звичайний"/>
    <w:next w:val="Текстувиносці"/>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xfmc1">
    <w:name w:val="xfmc1"/>
    <w:next w:val="xfmc1"/>
    <w:autoRedefine w:val="0"/>
    <w:hidden w:val="0"/>
    <w:qFormat w:val="0"/>
    <w:rPr>
      <w:w w:val="100"/>
      <w:position w:val="-1"/>
      <w:effect w:val="none"/>
      <w:vertAlign w:val="baseline"/>
      <w:cs w:val="0"/>
      <w:em w:val="none"/>
      <w:lang/>
    </w:rPr>
  </w:style>
  <w:style w:type="character" w:styleId="Гіперпосилання">
    <w:name w:val="Гіперпосилання"/>
    <w:next w:val="Гіперпосилання"/>
    <w:autoRedefine w:val="0"/>
    <w:hidden w:val="0"/>
    <w:qFormat w:val="0"/>
    <w:rPr>
      <w:color w:val="0000ff"/>
      <w:w w:val="100"/>
      <w:position w:val="-1"/>
      <w:u w:val="single"/>
      <w:effect w:val="none"/>
      <w:vertAlign w:val="baseline"/>
      <w:cs w:val="0"/>
      <w:em w:val="none"/>
      <w:lang/>
    </w:rPr>
  </w:style>
  <w:style w:type="paragraph" w:styleId="ЗнакЗнакЗнак">
    <w:name w:val="Знак Знак Знак"/>
    <w:basedOn w:val="Звичайний"/>
    <w:next w:val="ЗнакЗнакЗнак"/>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US"/>
    </w:rPr>
  </w:style>
  <w:style w:type="character" w:styleId="Bodytext(2)_">
    <w:name w:val="Body text (2)_"/>
    <w:next w:val="Bodytext(2)_"/>
    <w:autoRedefine w:val="0"/>
    <w:hidden w:val="0"/>
    <w:qFormat w:val="0"/>
    <w:rPr>
      <w:w w:val="100"/>
      <w:position w:val="-1"/>
      <w:effect w:val="none"/>
      <w:shd w:color="auto" w:fill="ffffff" w:val="clear"/>
      <w:vertAlign w:val="baseline"/>
      <w:cs w:val="0"/>
      <w:em w:val="none"/>
      <w:lang/>
    </w:rPr>
  </w:style>
  <w:style w:type="paragraph" w:styleId="Bodytext(2)">
    <w:name w:val="Body text (2)"/>
    <w:basedOn w:val="Звичайний"/>
    <w:next w:val="Bodytext(2)"/>
    <w:autoRedefine w:val="0"/>
    <w:hidden w:val="0"/>
    <w:qFormat w:val="0"/>
    <w:pPr>
      <w:widowControl w:val="0"/>
      <w:shd w:color="auto" w:fill="ffffff" w:val="clear"/>
      <w:suppressAutoHyphens w:val="1"/>
      <w:spacing w:after="3000" w:line="274" w:lineRule="atLeast"/>
      <w:ind w:leftChars="-1" w:rightChars="0" w:hanging="340" w:firstLineChars="-1"/>
      <w:jc w:val="right"/>
      <w:textDirection w:val="btLr"/>
      <w:textAlignment w:val="top"/>
      <w:outlineLvl w:val="0"/>
    </w:pPr>
    <w:rPr>
      <w:w w:val="100"/>
      <w:position w:val="-1"/>
      <w:sz w:val="20"/>
      <w:szCs w:val="20"/>
      <w:effect w:val="none"/>
      <w:vertAlign w:val="baseline"/>
      <w:cs w:val="0"/>
      <w:em w:val="none"/>
      <w:lang w:bidi="ar-SA" w:eastAsia="uk-UA" w:val="uk-UA"/>
    </w:rPr>
  </w:style>
  <w:style w:type="paragraph" w:styleId="CharЗнакЗнакCharЗнакЗнакЗнакЗнакЗнакЗнакЗнакЗнакЗнакЗнакЗнакЗнакЗнакЗнакЗнакЗнак1ЗнакЗнакЗнакЗнакЗнакЗнакЗнакЗнакЗнакЗнакЗнакЗнакЗнакЗнак1ЗнакЗнакCharCharЗнакЗнакЗнак">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Звичайний"/>
    <w:next w:val="CharЗнакЗнакCharЗнакЗнакЗнакЗнакЗнакЗнакЗнакЗнакЗнакЗнакЗнакЗнакЗнакЗнакЗнакЗнак1ЗнакЗнакЗнакЗнакЗнакЗнакЗнакЗнакЗнакЗнакЗнакЗнакЗнакЗнак1ЗнакЗнакCharCharЗнакЗнакЗнак"/>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US"/>
    </w:rPr>
  </w:style>
  <w:style w:type="character" w:styleId="АбзацспискуЗнак">
    <w:name w:val="Абзац списку Знак"/>
    <w:next w:val="АбзацспискуЗнак"/>
    <w:autoRedefine w:val="0"/>
    <w:hidden w:val="0"/>
    <w:qFormat w:val="0"/>
    <w:rPr>
      <w:rFonts w:ascii="Calibri" w:eastAsia="Calibri" w:hAnsi="Calibri"/>
      <w:w w:val="100"/>
      <w:position w:val="-1"/>
      <w:sz w:val="22"/>
      <w:szCs w:val="22"/>
      <w:effect w:val="none"/>
      <w:vertAlign w:val="baseline"/>
      <w:cs w:val="0"/>
      <w:em w:val="none"/>
      <w:lang w:eastAsia="en-US"/>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k-UA"/>
    </w:rPr>
  </w:style>
  <w:style w:type="paragraph" w:styleId="Безінтервалів">
    <w:name w:val="Без інтервалів"/>
    <w:next w:val="Безінтервалів"/>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k-UA"/>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character" w:styleId="Заголовок1Знак">
    <w:name w:val="Заголовок 1 Знак"/>
    <w:next w:val="Заголовок1Знак"/>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eastAsia="ru-RU" w:val="ru-RU"/>
    </w:rPr>
  </w:style>
  <w:style w:type="character" w:styleId="green">
    <w:name w:val="green"/>
    <w:next w:val="gree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2020-12-24T12:53:00Z</dcterms:created>
  <dc:creator>oit</dc:creator>
</cp:coreProperties>
</file>