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1C77D" w14:textId="5B6C49B5" w:rsidR="00FB1EC3" w:rsidRDefault="00FB1EC3"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FB1EC3">
        <w:rPr>
          <w:rFonts w:ascii="Times New Roman" w:hAnsi="Times New Roman"/>
          <w:b/>
          <w:i/>
          <w:sz w:val="28"/>
          <w:szCs w:val="28"/>
        </w:rPr>
        <w:instrText>https://prozorro.gov.ua/tender/UA-2024-08-26-009869-a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9326AF">
        <w:rPr>
          <w:rStyle w:val="a3"/>
          <w:rFonts w:ascii="Times New Roman" w:hAnsi="Times New Roman"/>
          <w:b/>
          <w:i/>
          <w:sz w:val="28"/>
          <w:szCs w:val="28"/>
        </w:rPr>
        <w:t>https://prozorro.gov.ua/tender/</w:t>
      </w:r>
      <w:bookmarkStart w:id="0" w:name="_GoBack"/>
      <w:r w:rsidRPr="009326AF">
        <w:rPr>
          <w:rStyle w:val="a3"/>
          <w:rFonts w:ascii="Times New Roman" w:hAnsi="Times New Roman"/>
          <w:b/>
          <w:i/>
          <w:sz w:val="28"/>
          <w:szCs w:val="28"/>
        </w:rPr>
        <w:t>UA-2024-08-26-009869-a</w:t>
      </w:r>
      <w:bookmarkEnd w:id="0"/>
      <w:r>
        <w:rPr>
          <w:rFonts w:ascii="Times New Roman" w:hAnsi="Times New Roman"/>
          <w:b/>
          <w:i/>
          <w:sz w:val="28"/>
          <w:szCs w:val="28"/>
        </w:rPr>
        <w:fldChar w:fldCharType="end"/>
      </w:r>
      <w:r>
        <w:rPr>
          <w:rFonts w:ascii="Times New Roman" w:hAnsi="Times New Roman"/>
          <w:b/>
          <w:i/>
          <w:sz w:val="28"/>
          <w:szCs w:val="28"/>
        </w:rPr>
        <w:t xml:space="preserve"> </w:t>
      </w:r>
    </w:p>
    <w:p w14:paraId="5AAE574B" w14:textId="4FF6DA4E" w:rsidR="00301BC7" w:rsidRDefault="00176FE4" w:rsidP="00AE0716">
      <w:pPr>
        <w:spacing w:after="0" w:line="240" w:lineRule="auto"/>
        <w:ind w:firstLine="567"/>
        <w:jc w:val="center"/>
        <w:rPr>
          <w:rFonts w:ascii="Times New Roman" w:hAnsi="Times New Roman"/>
          <w:b/>
          <w:i/>
          <w:sz w:val="28"/>
          <w:szCs w:val="28"/>
        </w:rPr>
      </w:pPr>
      <w:r w:rsidRPr="00176FE4">
        <w:rPr>
          <w:rFonts w:ascii="Times New Roman" w:hAnsi="Times New Roman"/>
          <w:b/>
          <w:i/>
          <w:sz w:val="28"/>
          <w:szCs w:val="28"/>
        </w:rPr>
        <w:t xml:space="preserve">«ДК 021:2015: (CPV) Хлібопродукти, свіжовипечені хлібобулочні та кондитерські вироби (15810000-9) (Хліб </w:t>
      </w:r>
      <w:proofErr w:type="spellStart"/>
      <w:r w:rsidRPr="00176FE4">
        <w:rPr>
          <w:rFonts w:ascii="Times New Roman" w:hAnsi="Times New Roman"/>
          <w:b/>
          <w:i/>
          <w:sz w:val="28"/>
          <w:szCs w:val="28"/>
        </w:rPr>
        <w:t>цільнозерновий</w:t>
      </w:r>
      <w:proofErr w:type="spellEnd"/>
      <w:r w:rsidRPr="00176FE4">
        <w:rPr>
          <w:rFonts w:ascii="Times New Roman" w:hAnsi="Times New Roman"/>
          <w:b/>
          <w:i/>
          <w:sz w:val="28"/>
          <w:szCs w:val="28"/>
        </w:rPr>
        <w:t xml:space="preserve"> пшеничний)»</w:t>
      </w:r>
    </w:p>
    <w:p w14:paraId="5D753527" w14:textId="77777777" w:rsidR="00EE186C" w:rsidRDefault="00EE186C" w:rsidP="00AE0716">
      <w:pPr>
        <w:spacing w:after="0" w:line="240" w:lineRule="auto"/>
        <w:ind w:firstLine="567"/>
        <w:jc w:val="center"/>
        <w:rPr>
          <w:rFonts w:ascii="Times New Roman" w:hAnsi="Times New Roman"/>
          <w:b/>
          <w:i/>
          <w:sz w:val="28"/>
          <w:szCs w:val="28"/>
        </w:rPr>
      </w:pPr>
    </w:p>
    <w:p w14:paraId="75750CBD" w14:textId="37854E18"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176FE4" w:rsidRPr="00176FE4">
        <w:rPr>
          <w:rFonts w:ascii="Times New Roman" w:hAnsi="Times New Roman" w:cs="Times New Roman"/>
        </w:rPr>
        <w:t xml:space="preserve">«ДК 021:2015: (CPV) Хлібопродукти, свіжовипечені хлібобулочні та кондитерські вироби (15810000-9) (Хліб </w:t>
      </w:r>
      <w:proofErr w:type="spellStart"/>
      <w:r w:rsidR="00176FE4" w:rsidRPr="00176FE4">
        <w:rPr>
          <w:rFonts w:ascii="Times New Roman" w:hAnsi="Times New Roman" w:cs="Times New Roman"/>
        </w:rPr>
        <w:t>цільнозерновий</w:t>
      </w:r>
      <w:proofErr w:type="spellEnd"/>
      <w:r w:rsidR="00176FE4" w:rsidRPr="00176FE4">
        <w:rPr>
          <w:rFonts w:ascii="Times New Roman" w:hAnsi="Times New Roman" w:cs="Times New Roman"/>
        </w:rPr>
        <w:t xml:space="preserve"> пшеничний)»</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0DCE636C" w:rsidR="00B33343" w:rsidRPr="00EE186C"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176FE4" w:rsidRPr="00176FE4">
        <w:rPr>
          <w:rFonts w:ascii="Times New Roman" w:hAnsi="Times New Roman" w:cs="Times New Roman"/>
        </w:rPr>
        <w:t xml:space="preserve">«ДК 021:2015: (CPV) Хлібопродукти, свіжовипечені хлібобулочні та кондитерські вироби (15810000-9) (Хліб </w:t>
      </w:r>
      <w:proofErr w:type="spellStart"/>
      <w:r w:rsidR="00176FE4" w:rsidRPr="00176FE4">
        <w:rPr>
          <w:rFonts w:ascii="Times New Roman" w:hAnsi="Times New Roman" w:cs="Times New Roman"/>
        </w:rPr>
        <w:t>цільнозерновий</w:t>
      </w:r>
      <w:proofErr w:type="spellEnd"/>
      <w:r w:rsidR="00176FE4" w:rsidRPr="00176FE4">
        <w:rPr>
          <w:rFonts w:ascii="Times New Roman" w:hAnsi="Times New Roman" w:cs="Times New Roman"/>
        </w:rPr>
        <w:t xml:space="preserve"> пшеничний)»</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460CCA56" w:rsidR="0097092C" w:rsidRDefault="0097092C" w:rsidP="00EE186C">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B008D2E" w14:textId="77777777" w:rsidR="00EE186C" w:rsidRDefault="00EE186C" w:rsidP="00EE186C">
      <w:pPr>
        <w:spacing w:after="0" w:line="240" w:lineRule="auto"/>
        <w:jc w:val="both"/>
        <w:rPr>
          <w:rFonts w:ascii="Times New Roman" w:hAnsi="Times New Roman" w:cs="Times New Roman"/>
          <w:bCs/>
        </w:rPr>
      </w:pPr>
      <w:r w:rsidRPr="00093DCB">
        <w:rPr>
          <w:rFonts w:ascii="Times New Roman" w:hAnsi="Times New Roman" w:cs="Times New Roman"/>
          <w:iCs/>
          <w:szCs w:val="24"/>
          <w:lang w:eastAsia="ru-RU"/>
        </w:rPr>
        <w:t>Товар повинен відповідати показникам безпечності та якості для харчових продуктів, які встановлено нормативно-правовими актами України</w:t>
      </w:r>
      <w:r w:rsidRPr="003A7177">
        <w:rPr>
          <w:rFonts w:ascii="Times New Roman" w:hAnsi="Times New Roman" w:cs="Times New Roman"/>
          <w:bCs/>
        </w:rPr>
        <w:t xml:space="preserve"> </w:t>
      </w:r>
      <w:r w:rsidRPr="00093DCB">
        <w:rPr>
          <w:rFonts w:ascii="Times New Roman" w:hAnsi="Times New Roman" w:cs="Times New Roman"/>
          <w:iCs/>
          <w:szCs w:val="24"/>
          <w:lang w:eastAsia="ru-RU"/>
        </w:rPr>
        <w:t>(зокрема, але не виключно, Законам України «Про основні принципи та вимоги до безпечності та якості харчових продуктів» та «Про інформацію для споживачів щодо харчових продуктів», Постанові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w:t>
      </w:r>
      <w:r>
        <w:rPr>
          <w:rFonts w:ascii="Times New Roman" w:hAnsi="Times New Roman" w:cs="Times New Roman"/>
          <w:iCs/>
          <w:szCs w:val="24"/>
          <w:lang w:eastAsia="ru-RU"/>
        </w:rPr>
        <w:t xml:space="preserve">, </w:t>
      </w:r>
      <w:r w:rsidRPr="003A7177">
        <w:rPr>
          <w:rFonts w:ascii="Times New Roman" w:hAnsi="Times New Roman" w:cs="Times New Roman"/>
          <w:bCs/>
        </w:rPr>
        <w:t>нормативно-технологічній документації, встановленим санітарно-гігієнічним нормам, нормам стандартизації та сертифікації та супроводжуватись відповідними документами, що підтверджують їх якість та придатність до використання.</w:t>
      </w:r>
      <w:r>
        <w:rPr>
          <w:rFonts w:ascii="Times New Roman" w:hAnsi="Times New Roman" w:cs="Times New Roman"/>
          <w:bCs/>
        </w:rPr>
        <w:t xml:space="preserve">  </w:t>
      </w:r>
    </w:p>
    <w:p w14:paraId="714593DF" w14:textId="77777777" w:rsidR="00EE186C" w:rsidRDefault="00EE186C" w:rsidP="00EE186C">
      <w:pPr>
        <w:spacing w:after="0" w:line="240" w:lineRule="auto"/>
        <w:jc w:val="both"/>
        <w:rPr>
          <w:rFonts w:ascii="Times New Roman" w:hAnsi="Times New Roman" w:cs="Times New Roman"/>
        </w:rPr>
      </w:pPr>
      <w:r w:rsidRPr="00176C0F">
        <w:rPr>
          <w:rFonts w:ascii="Times New Roman" w:hAnsi="Times New Roman" w:cs="Times New Roman"/>
          <w:bCs/>
        </w:rPr>
        <w:t xml:space="preserve">Якість товару, що постачається, повинна відповідати державним стандартам, сертифікатам якості товару та мати належний (не прострочений та такий, який дозволяє використати товар за призначенням у необхідний для Замовника строк). </w:t>
      </w:r>
      <w:r w:rsidRPr="003A7177">
        <w:rPr>
          <w:rFonts w:ascii="Times New Roman" w:hAnsi="Times New Roman" w:cs="Times New Roman"/>
          <w:shd w:val="clear" w:color="auto" w:fill="FFFFFF"/>
        </w:rPr>
        <w:t>Товар н</w:t>
      </w:r>
      <w:r w:rsidRPr="003A7177">
        <w:rPr>
          <w:rFonts w:ascii="Times New Roman" w:hAnsi="Times New Roman" w:cs="Times New Roman"/>
        </w:rPr>
        <w:t xml:space="preserve">е повинен містити небезпечні для організму речовини, до складу яких входять штучні, синтетичні барвники, домішки, ароматизатори, </w:t>
      </w:r>
      <w:proofErr w:type="spellStart"/>
      <w:r w:rsidRPr="003A7177">
        <w:rPr>
          <w:rFonts w:ascii="Times New Roman" w:hAnsi="Times New Roman" w:cs="Times New Roman"/>
        </w:rPr>
        <w:t>підсолоджувачі</w:t>
      </w:r>
      <w:proofErr w:type="spellEnd"/>
      <w:r w:rsidRPr="003A7177">
        <w:rPr>
          <w:rFonts w:ascii="Times New Roman" w:hAnsi="Times New Roman" w:cs="Times New Roman"/>
        </w:rPr>
        <w:t>, підсилювачі смаку, консерванти, розпушувачі, ГМО.</w:t>
      </w:r>
    </w:p>
    <w:p w14:paraId="01E6817C" w14:textId="07736710" w:rsidR="00EE186C" w:rsidRPr="003A7177" w:rsidRDefault="00EE186C" w:rsidP="00EE186C">
      <w:pPr>
        <w:spacing w:after="0" w:line="240" w:lineRule="auto"/>
        <w:jc w:val="both"/>
        <w:rPr>
          <w:rFonts w:ascii="Times New Roman" w:hAnsi="Times New Roman" w:cs="Times New Roman"/>
        </w:rPr>
      </w:pPr>
      <w:proofErr w:type="spellStart"/>
      <w:r w:rsidRPr="003A7177">
        <w:rPr>
          <w:rFonts w:ascii="Times New Roman" w:hAnsi="Times New Roman" w:cs="Times New Roman"/>
        </w:rPr>
        <w:t>Обов</w:t>
      </w:r>
      <w:proofErr w:type="spellEnd"/>
      <w:r w:rsidRPr="003A7177">
        <w:rPr>
          <w:rFonts w:ascii="Times New Roman" w:hAnsi="Times New Roman" w:cs="Times New Roman"/>
          <w:lang w:val="ru-RU"/>
        </w:rPr>
        <w:t>’</w:t>
      </w:r>
      <w:proofErr w:type="spellStart"/>
      <w:r w:rsidRPr="003A7177">
        <w:rPr>
          <w:rFonts w:ascii="Times New Roman" w:hAnsi="Times New Roman" w:cs="Times New Roman"/>
        </w:rPr>
        <w:t>язковим</w:t>
      </w:r>
      <w:proofErr w:type="spellEnd"/>
      <w:r w:rsidRPr="003A7177">
        <w:rPr>
          <w:rFonts w:ascii="Times New Roman" w:hAnsi="Times New Roman" w:cs="Times New Roman"/>
        </w:rPr>
        <w:t xml:space="preserve"> є дотримання строків придатності продуктів харчування. Термін придатності товару на момент постачання повинен бути не менше 80% загального терміну придатності даного товару,</w:t>
      </w:r>
      <w:r w:rsidRPr="00E23C50">
        <w:rPr>
          <w:rFonts w:ascii="Times New Roman" w:hAnsi="Times New Roman" w:cs="Times New Roman"/>
          <w:iCs/>
          <w:szCs w:val="24"/>
          <w:lang w:eastAsia="ru-RU"/>
        </w:rPr>
        <w:t xml:space="preserve"> який встановлений підприємством-виробником</w:t>
      </w:r>
      <w:r>
        <w:rPr>
          <w:rFonts w:ascii="Times New Roman" w:hAnsi="Times New Roman" w:cs="Times New Roman"/>
          <w:iCs/>
          <w:szCs w:val="24"/>
          <w:lang w:eastAsia="ru-RU"/>
        </w:rPr>
        <w:t>,</w:t>
      </w:r>
      <w:r w:rsidRPr="003A7177">
        <w:rPr>
          <w:rFonts w:ascii="Times New Roman" w:hAnsi="Times New Roman" w:cs="Times New Roman"/>
        </w:rPr>
        <w:t xml:space="preserve"> за умови його зберігання відповідно до норм і правил зберігання.</w:t>
      </w:r>
      <w:r w:rsidRPr="003A7177">
        <w:rPr>
          <w:rFonts w:ascii="Times New Roman" w:hAnsi="Times New Roman" w:cs="Times New Roman"/>
          <w:color w:val="000000"/>
          <w:sz w:val="24"/>
          <w:szCs w:val="24"/>
          <w:lang w:eastAsia="ru-RU"/>
        </w:rPr>
        <w:t xml:space="preserve"> </w:t>
      </w:r>
      <w:r w:rsidRPr="00176C0F">
        <w:rPr>
          <w:rFonts w:ascii="Times New Roman" w:hAnsi="Times New Roman" w:cs="Times New Roman"/>
        </w:rPr>
        <w:t>Товар повинен бути упакований Постачальником таким чином, щоб не допустити псування та/або знищення його на період постачання до прийняття Замовником. Товар поставляється в упаковці (тарі) виробника, з нанесеним відповідним маркуванням державною мовою, або у тарі, що має забезпечити його збереження та цілісність під час транспортування та зберігання. У ціну товару включено вартість тари та упаковки</w:t>
      </w:r>
      <w:r w:rsidRPr="0058253F">
        <w:rPr>
          <w:rFonts w:ascii="Times New Roman" w:hAnsi="Times New Roman" w:cs="Times New Roman"/>
          <w:iCs/>
          <w:szCs w:val="24"/>
          <w:lang w:eastAsia="ru-RU"/>
        </w:rPr>
        <w:t xml:space="preserve">. </w:t>
      </w:r>
    </w:p>
    <w:p w14:paraId="73BB1424" w14:textId="77777777" w:rsidR="00EE186C" w:rsidRDefault="00EE186C" w:rsidP="005E523E">
      <w:pPr>
        <w:widowControl w:val="0"/>
        <w:shd w:val="clear" w:color="auto" w:fill="FFFFFF"/>
        <w:spacing w:after="0" w:line="240" w:lineRule="auto"/>
        <w:jc w:val="both"/>
        <w:rPr>
          <w:rFonts w:ascii="Times New Roman" w:hAnsi="Times New Roman"/>
          <w:color w:val="000000"/>
          <w:kern w:val="1"/>
          <w:lang w:eastAsia="ar-SA"/>
        </w:rPr>
      </w:pPr>
    </w:p>
    <w:tbl>
      <w:tblPr>
        <w:tblW w:w="6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
        <w:gridCol w:w="3823"/>
        <w:gridCol w:w="915"/>
        <w:gridCol w:w="1084"/>
      </w:tblGrid>
      <w:tr w:rsidR="00041B0F" w14:paraId="625330D4" w14:textId="77777777" w:rsidTr="00041B0F">
        <w:trPr>
          <w:trHeight w:val="842"/>
        </w:trPr>
        <w:tc>
          <w:tcPr>
            <w:tcW w:w="431" w:type="dxa"/>
            <w:tcBorders>
              <w:top w:val="single" w:sz="4" w:space="0" w:color="auto"/>
              <w:left w:val="single" w:sz="4" w:space="0" w:color="auto"/>
              <w:bottom w:val="single" w:sz="4" w:space="0" w:color="auto"/>
              <w:right w:val="single" w:sz="4" w:space="0" w:color="auto"/>
            </w:tcBorders>
            <w:vAlign w:val="center"/>
            <w:hideMark/>
          </w:tcPr>
          <w:p w14:paraId="6BA2A079" w14:textId="77777777" w:rsidR="00041B0F" w:rsidRDefault="00041B0F">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w:t>
            </w:r>
          </w:p>
          <w:p w14:paraId="58F32430" w14:textId="77777777" w:rsidR="00041B0F" w:rsidRDefault="00041B0F">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з/п</w:t>
            </w:r>
          </w:p>
        </w:tc>
        <w:tc>
          <w:tcPr>
            <w:tcW w:w="3823" w:type="dxa"/>
            <w:tcBorders>
              <w:top w:val="single" w:sz="4" w:space="0" w:color="auto"/>
              <w:left w:val="single" w:sz="4" w:space="0" w:color="auto"/>
              <w:bottom w:val="single" w:sz="4" w:space="0" w:color="auto"/>
              <w:right w:val="single" w:sz="4" w:space="0" w:color="auto"/>
            </w:tcBorders>
            <w:vAlign w:val="center"/>
            <w:hideMark/>
          </w:tcPr>
          <w:p w14:paraId="02C02460" w14:textId="77777777" w:rsidR="00041B0F" w:rsidRDefault="00041B0F">
            <w:pPr>
              <w:widowControl w:val="0"/>
              <w:suppressAutoHyphens/>
              <w:autoSpaceDE w:val="0"/>
              <w:spacing w:after="0" w:line="240" w:lineRule="auto"/>
              <w:ind w:left="10"/>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Найменування</w:t>
            </w:r>
          </w:p>
        </w:tc>
        <w:tc>
          <w:tcPr>
            <w:tcW w:w="915" w:type="dxa"/>
            <w:tcBorders>
              <w:top w:val="single" w:sz="4" w:space="0" w:color="auto"/>
              <w:left w:val="single" w:sz="4" w:space="0" w:color="auto"/>
              <w:bottom w:val="single" w:sz="4" w:space="0" w:color="auto"/>
              <w:right w:val="single" w:sz="4" w:space="0" w:color="auto"/>
            </w:tcBorders>
            <w:vAlign w:val="center"/>
            <w:hideMark/>
          </w:tcPr>
          <w:p w14:paraId="20402FAC" w14:textId="77777777" w:rsidR="00041B0F" w:rsidRDefault="00041B0F">
            <w:pPr>
              <w:widowControl w:val="0"/>
              <w:suppressAutoHyphens/>
              <w:autoSpaceDE w:val="0"/>
              <w:spacing w:after="0" w:line="240" w:lineRule="auto"/>
              <w:ind w:left="10"/>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Од.  виміру</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971A730" w14:textId="77777777" w:rsidR="00041B0F" w:rsidRDefault="00041B0F">
            <w:pPr>
              <w:widowControl w:val="0"/>
              <w:suppressAutoHyphens/>
              <w:autoSpaceDE w:val="0"/>
              <w:spacing w:after="0" w:line="240" w:lineRule="auto"/>
              <w:ind w:left="-169" w:right="-153"/>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К-ть</w:t>
            </w:r>
          </w:p>
        </w:tc>
      </w:tr>
      <w:tr w:rsidR="00041B0F" w14:paraId="304F68C0" w14:textId="77777777" w:rsidTr="00041B0F">
        <w:trPr>
          <w:trHeight w:val="324"/>
        </w:trPr>
        <w:tc>
          <w:tcPr>
            <w:tcW w:w="431" w:type="dxa"/>
            <w:tcBorders>
              <w:top w:val="single" w:sz="4" w:space="0" w:color="auto"/>
              <w:left w:val="single" w:sz="4" w:space="0" w:color="auto"/>
              <w:bottom w:val="single" w:sz="4" w:space="0" w:color="auto"/>
              <w:right w:val="single" w:sz="4" w:space="0" w:color="auto"/>
            </w:tcBorders>
            <w:vAlign w:val="center"/>
            <w:hideMark/>
          </w:tcPr>
          <w:p w14:paraId="2C850D95" w14:textId="77777777" w:rsidR="00041B0F" w:rsidRDefault="00041B0F">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1</w:t>
            </w:r>
          </w:p>
        </w:tc>
        <w:tc>
          <w:tcPr>
            <w:tcW w:w="3823" w:type="dxa"/>
            <w:tcBorders>
              <w:top w:val="single" w:sz="4" w:space="0" w:color="auto"/>
              <w:left w:val="single" w:sz="4" w:space="0" w:color="auto"/>
              <w:bottom w:val="single" w:sz="4" w:space="0" w:color="auto"/>
              <w:right w:val="single" w:sz="4" w:space="0" w:color="auto"/>
            </w:tcBorders>
            <w:hideMark/>
          </w:tcPr>
          <w:p w14:paraId="0766DB6F" w14:textId="77777777" w:rsidR="00041B0F" w:rsidRDefault="00041B0F">
            <w:pPr>
              <w:widowControl w:val="0"/>
              <w:suppressAutoHyphens/>
              <w:autoSpaceDE w:val="0"/>
              <w:spacing w:after="0" w:line="240" w:lineRule="auto"/>
              <w:ind w:left="26" w:right="-108" w:hanging="10"/>
              <w:rPr>
                <w:rFonts w:ascii="Times New Roman" w:hAnsi="Times New Roman" w:cs="Times New Roman"/>
                <w:bCs/>
                <w:color w:val="000000"/>
                <w:lang w:eastAsia="zh-CN"/>
              </w:rPr>
            </w:pPr>
            <w:r>
              <w:rPr>
                <w:rFonts w:ascii="Times New Roman" w:hAnsi="Times New Roman" w:cs="Times New Roman"/>
                <w:bCs/>
                <w:color w:val="000000"/>
                <w:lang w:eastAsia="zh-CN"/>
              </w:rPr>
              <w:t xml:space="preserve">Хліб </w:t>
            </w:r>
            <w:proofErr w:type="spellStart"/>
            <w:r>
              <w:rPr>
                <w:rFonts w:ascii="Times New Roman" w:hAnsi="Times New Roman" w:cs="Times New Roman"/>
                <w:bCs/>
                <w:color w:val="000000"/>
                <w:lang w:eastAsia="zh-CN"/>
              </w:rPr>
              <w:t>цільнозерновий</w:t>
            </w:r>
            <w:proofErr w:type="spellEnd"/>
            <w:r>
              <w:rPr>
                <w:rFonts w:ascii="Times New Roman" w:hAnsi="Times New Roman" w:cs="Times New Roman"/>
                <w:bCs/>
                <w:color w:val="000000"/>
                <w:lang w:eastAsia="zh-CN"/>
              </w:rPr>
              <w:t xml:space="preserve"> пшеничний</w:t>
            </w:r>
          </w:p>
        </w:tc>
        <w:tc>
          <w:tcPr>
            <w:tcW w:w="915" w:type="dxa"/>
            <w:tcBorders>
              <w:top w:val="single" w:sz="4" w:space="0" w:color="auto"/>
              <w:left w:val="single" w:sz="4" w:space="0" w:color="auto"/>
              <w:bottom w:val="single" w:sz="4" w:space="0" w:color="auto"/>
              <w:right w:val="single" w:sz="4" w:space="0" w:color="auto"/>
            </w:tcBorders>
            <w:hideMark/>
          </w:tcPr>
          <w:p w14:paraId="0FFCDDAF" w14:textId="77777777" w:rsidR="00041B0F" w:rsidRDefault="00041B0F">
            <w:pPr>
              <w:jc w:val="center"/>
              <w:rPr>
                <w:rFonts w:ascii="Times New Roman" w:hAnsi="Times New Roman" w:cs="Times New Roman"/>
                <w:lang w:eastAsia="uk-UA"/>
              </w:rPr>
            </w:pPr>
            <w:r>
              <w:rPr>
                <w:rFonts w:ascii="Times New Roman" w:hAnsi="Times New Roman" w:cs="Times New Roman"/>
                <w:bCs/>
              </w:rPr>
              <w:t>кг</w:t>
            </w:r>
          </w:p>
        </w:tc>
        <w:tc>
          <w:tcPr>
            <w:tcW w:w="1084" w:type="dxa"/>
            <w:tcBorders>
              <w:top w:val="single" w:sz="4" w:space="0" w:color="auto"/>
              <w:left w:val="single" w:sz="4" w:space="0" w:color="auto"/>
              <w:bottom w:val="single" w:sz="4" w:space="0" w:color="auto"/>
              <w:right w:val="single" w:sz="4" w:space="0" w:color="auto"/>
            </w:tcBorders>
            <w:hideMark/>
          </w:tcPr>
          <w:p w14:paraId="72D14A6D" w14:textId="77777777" w:rsidR="00041B0F" w:rsidRDefault="00041B0F">
            <w:pPr>
              <w:jc w:val="center"/>
              <w:rPr>
                <w:rFonts w:ascii="Times New Roman" w:hAnsi="Times New Roman" w:cs="Times New Roman"/>
                <w:bCs/>
              </w:rPr>
            </w:pPr>
            <w:r>
              <w:rPr>
                <w:rFonts w:ascii="Times New Roman" w:hAnsi="Times New Roman" w:cs="Times New Roman"/>
                <w:bCs/>
              </w:rPr>
              <w:t>2300</w:t>
            </w:r>
          </w:p>
        </w:tc>
      </w:tr>
    </w:tbl>
    <w:p w14:paraId="44C12A6F" w14:textId="77777777" w:rsidR="00041B0F" w:rsidRDefault="00041B0F" w:rsidP="00041B0F">
      <w:pPr>
        <w:spacing w:after="0"/>
        <w:jc w:val="both"/>
        <w:rPr>
          <w:rFonts w:ascii="Times New Roman" w:hAnsi="Times New Roman" w:cs="Times New Roman"/>
          <w:b/>
          <w:sz w:val="40"/>
          <w:szCs w:val="40"/>
          <w:lang w:eastAsia="uk-UA"/>
        </w:rPr>
      </w:pPr>
      <w:r>
        <w:rPr>
          <w:rFonts w:ascii="Times New Roman" w:hAnsi="Times New Roman" w:cs="Times New Roman"/>
          <w:b/>
          <w:sz w:val="40"/>
          <w:szCs w:val="40"/>
        </w:rPr>
        <w:t>*</w:t>
      </w:r>
      <w:r>
        <w:rPr>
          <w:rFonts w:ascii="Times New Roman" w:hAnsi="Times New Roman" w:cs="Times New Roman"/>
          <w:b/>
        </w:rPr>
        <w:t>Вимоги до предмета закупівлі:</w:t>
      </w:r>
    </w:p>
    <w:p w14:paraId="4185C97A" w14:textId="77777777" w:rsidR="00041B0F" w:rsidRDefault="00041B0F" w:rsidP="00041B0F">
      <w:pPr>
        <w:spacing w:after="0"/>
        <w:jc w:val="both"/>
        <w:rPr>
          <w:rFonts w:ascii="Times New Roman" w:hAnsi="Times New Roman" w:cs="Times New Roman"/>
          <w:sz w:val="18"/>
          <w:szCs w:val="18"/>
        </w:rPr>
      </w:pPr>
      <w:r>
        <w:rPr>
          <w:rFonts w:ascii="Times New Roman" w:hAnsi="Times New Roman" w:cs="Times New Roman"/>
          <w:b/>
          <w:sz w:val="18"/>
          <w:szCs w:val="18"/>
        </w:rPr>
        <w:lastRenderedPageBreak/>
        <w:t xml:space="preserve">Хліб </w:t>
      </w:r>
      <w:proofErr w:type="spellStart"/>
      <w:r>
        <w:rPr>
          <w:rFonts w:ascii="Times New Roman" w:hAnsi="Times New Roman" w:cs="Times New Roman"/>
          <w:b/>
          <w:sz w:val="18"/>
          <w:szCs w:val="18"/>
        </w:rPr>
        <w:t>цільнозерновий</w:t>
      </w:r>
      <w:proofErr w:type="spellEnd"/>
      <w:r>
        <w:rPr>
          <w:rFonts w:ascii="Times New Roman" w:hAnsi="Times New Roman" w:cs="Times New Roman"/>
          <w:b/>
          <w:sz w:val="18"/>
          <w:szCs w:val="18"/>
        </w:rPr>
        <w:t xml:space="preserve"> пшеничний</w:t>
      </w:r>
      <w:r>
        <w:rPr>
          <w:rFonts w:ascii="Times New Roman" w:hAnsi="Times New Roman" w:cs="Times New Roman"/>
          <w:sz w:val="18"/>
          <w:szCs w:val="18"/>
        </w:rPr>
        <w:t xml:space="preserve"> – Виготовлений з пшеничного борошна </w:t>
      </w:r>
      <w:proofErr w:type="spellStart"/>
      <w:r>
        <w:rPr>
          <w:rFonts w:ascii="Times New Roman" w:hAnsi="Times New Roman" w:cs="Times New Roman"/>
          <w:sz w:val="18"/>
          <w:szCs w:val="18"/>
        </w:rPr>
        <w:t>цільнозернового</w:t>
      </w:r>
      <w:proofErr w:type="spellEnd"/>
      <w:r>
        <w:rPr>
          <w:rFonts w:ascii="Times New Roman" w:hAnsi="Times New Roman" w:cs="Times New Roman"/>
          <w:sz w:val="18"/>
          <w:szCs w:val="18"/>
        </w:rPr>
        <w:t xml:space="preserve"> та пшеничного борошна вищого ґатунку, масою 0,600 кг. Форма  хліба - </w:t>
      </w:r>
      <w:proofErr w:type="spellStart"/>
      <w:r>
        <w:rPr>
          <w:rFonts w:ascii="Times New Roman" w:hAnsi="Times New Roman" w:cs="Times New Roman"/>
          <w:sz w:val="18"/>
          <w:szCs w:val="18"/>
        </w:rPr>
        <w:t>продовговато</w:t>
      </w:r>
      <w:proofErr w:type="spellEnd"/>
      <w:r>
        <w:rPr>
          <w:rFonts w:ascii="Times New Roman" w:hAnsi="Times New Roman" w:cs="Times New Roman"/>
          <w:sz w:val="18"/>
          <w:szCs w:val="18"/>
        </w:rPr>
        <w:t xml:space="preserve">-овальна, не розпливчаста, без великих </w:t>
      </w:r>
      <w:proofErr w:type="spellStart"/>
      <w:r>
        <w:rPr>
          <w:rFonts w:ascii="Times New Roman" w:hAnsi="Times New Roman" w:cs="Times New Roman"/>
          <w:sz w:val="18"/>
          <w:szCs w:val="18"/>
        </w:rPr>
        <w:t>тріщин</w:t>
      </w:r>
      <w:proofErr w:type="spellEnd"/>
      <w:r>
        <w:rPr>
          <w:rFonts w:ascii="Times New Roman" w:hAnsi="Times New Roman" w:cs="Times New Roman"/>
          <w:sz w:val="18"/>
          <w:szCs w:val="18"/>
        </w:rPr>
        <w:t xml:space="preserve"> та підривів, без притисків. Поверхня хліба: декорована </w:t>
      </w:r>
      <w:proofErr w:type="spellStart"/>
      <w:r>
        <w:rPr>
          <w:rFonts w:ascii="Times New Roman" w:hAnsi="Times New Roman" w:cs="Times New Roman"/>
          <w:sz w:val="18"/>
          <w:szCs w:val="18"/>
        </w:rPr>
        <w:t>цільнозерновим</w:t>
      </w:r>
      <w:proofErr w:type="spellEnd"/>
      <w:r>
        <w:rPr>
          <w:rFonts w:ascii="Times New Roman" w:hAnsi="Times New Roman" w:cs="Times New Roman"/>
          <w:sz w:val="18"/>
          <w:szCs w:val="18"/>
        </w:rPr>
        <w:t xml:space="preserve"> борошном, з 2 надрізами, без забруднень. Верхня скоринка не повинна бути приплюснута або зморщена. На вигляд краї повинні бути рівні, структура однорідна, відсутність надламів, тріщини і вм’ятин чи інших пошкоджень.  Колір від світло-жовтого до темно – жовтого, без </w:t>
      </w:r>
      <w:proofErr w:type="spellStart"/>
      <w:r>
        <w:rPr>
          <w:rFonts w:ascii="Times New Roman" w:hAnsi="Times New Roman" w:cs="Times New Roman"/>
          <w:sz w:val="18"/>
          <w:szCs w:val="18"/>
        </w:rPr>
        <w:t>підгорілості</w:t>
      </w:r>
      <w:proofErr w:type="spellEnd"/>
      <w:r>
        <w:rPr>
          <w:rFonts w:ascii="Times New Roman" w:hAnsi="Times New Roman" w:cs="Times New Roman"/>
          <w:sz w:val="18"/>
          <w:szCs w:val="18"/>
        </w:rPr>
        <w:t xml:space="preserve"> і блідості. Скоринка молочного відтінку – явна ознака не </w:t>
      </w:r>
      <w:proofErr w:type="spellStart"/>
      <w:r>
        <w:rPr>
          <w:rFonts w:ascii="Times New Roman" w:hAnsi="Times New Roman" w:cs="Times New Roman"/>
          <w:sz w:val="18"/>
          <w:szCs w:val="18"/>
        </w:rPr>
        <w:t>допеченного</w:t>
      </w:r>
      <w:proofErr w:type="spellEnd"/>
      <w:r>
        <w:rPr>
          <w:rFonts w:ascii="Times New Roman" w:hAnsi="Times New Roman" w:cs="Times New Roman"/>
          <w:sz w:val="18"/>
          <w:szCs w:val="18"/>
        </w:rPr>
        <w:t xml:space="preserve"> кінцевого продукту. М’якушка повинна бути пропечена, еластична, не липка, не волога на дотик, без грудочок та слідів поганого вимішування, не крихка. Хліб повинен бути без стороннього смаку та запаху.</w:t>
      </w:r>
    </w:p>
    <w:p w14:paraId="014FCD71" w14:textId="77777777" w:rsidR="00EE186C" w:rsidRPr="004C1A6E" w:rsidRDefault="00EE186C" w:rsidP="005E523E">
      <w:pPr>
        <w:widowControl w:val="0"/>
        <w:shd w:val="clear" w:color="auto" w:fill="FFFFFF"/>
        <w:spacing w:after="0" w:line="240" w:lineRule="auto"/>
        <w:jc w:val="both"/>
        <w:rPr>
          <w:rFonts w:ascii="Times New Roman" w:hAnsi="Times New Roman"/>
          <w:color w:val="000000"/>
          <w:kern w:val="1"/>
          <w:lang w:eastAsia="ar-SA"/>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6485053" w14:textId="79139723" w:rsidR="00314FE3" w:rsidRPr="00314FE3" w:rsidRDefault="00CA42A4" w:rsidP="00314FE3">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F71A65">
        <w:rPr>
          <w:rFonts w:ascii="Times New Roman" w:hAnsi="Times New Roman" w:cs="Times New Roman"/>
        </w:rPr>
        <w:t>103 500</w:t>
      </w:r>
      <w:r w:rsidR="00314FE3" w:rsidRPr="00314FE3">
        <w:rPr>
          <w:rFonts w:ascii="Times New Roman" w:hAnsi="Times New Roman" w:cs="Times New Roman"/>
        </w:rPr>
        <w:t>,00 грн. з ПДВ</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77ECAE1B"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B0F"/>
    <w:rsid w:val="00041F96"/>
    <w:rsid w:val="00093A66"/>
    <w:rsid w:val="000A1A51"/>
    <w:rsid w:val="000A6FF8"/>
    <w:rsid w:val="00176FE4"/>
    <w:rsid w:val="001D7F49"/>
    <w:rsid w:val="0026611A"/>
    <w:rsid w:val="00301BC7"/>
    <w:rsid w:val="00305EE4"/>
    <w:rsid w:val="00314FE3"/>
    <w:rsid w:val="00351B09"/>
    <w:rsid w:val="00377E08"/>
    <w:rsid w:val="003A5FEF"/>
    <w:rsid w:val="003D3B1D"/>
    <w:rsid w:val="00424241"/>
    <w:rsid w:val="004B3B8A"/>
    <w:rsid w:val="004E489E"/>
    <w:rsid w:val="00556ABA"/>
    <w:rsid w:val="00590E66"/>
    <w:rsid w:val="00593474"/>
    <w:rsid w:val="005E523E"/>
    <w:rsid w:val="005F0304"/>
    <w:rsid w:val="00640A01"/>
    <w:rsid w:val="00683DDC"/>
    <w:rsid w:val="006A2D19"/>
    <w:rsid w:val="006B1DA6"/>
    <w:rsid w:val="00731BA0"/>
    <w:rsid w:val="007502A5"/>
    <w:rsid w:val="007732E7"/>
    <w:rsid w:val="007A50F1"/>
    <w:rsid w:val="008019D6"/>
    <w:rsid w:val="00825693"/>
    <w:rsid w:val="0085282D"/>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760BB"/>
    <w:rsid w:val="00C863AE"/>
    <w:rsid w:val="00CA42A4"/>
    <w:rsid w:val="00CB29B7"/>
    <w:rsid w:val="00D15CC3"/>
    <w:rsid w:val="00D84356"/>
    <w:rsid w:val="00E67918"/>
    <w:rsid w:val="00EE1700"/>
    <w:rsid w:val="00EE186C"/>
    <w:rsid w:val="00F074E8"/>
    <w:rsid w:val="00F5513C"/>
    <w:rsid w:val="00F71A65"/>
    <w:rsid w:val="00FB1E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4579">
      <w:bodyDiv w:val="1"/>
      <w:marLeft w:val="0"/>
      <w:marRight w:val="0"/>
      <w:marTop w:val="0"/>
      <w:marBottom w:val="0"/>
      <w:divBdr>
        <w:top w:val="none" w:sz="0" w:space="0" w:color="auto"/>
        <w:left w:val="none" w:sz="0" w:space="0" w:color="auto"/>
        <w:bottom w:val="none" w:sz="0" w:space="0" w:color="auto"/>
        <w:right w:val="none" w:sz="0" w:space="0" w:color="auto"/>
      </w:divBdr>
    </w:div>
    <w:div w:id="234751431">
      <w:bodyDiv w:val="1"/>
      <w:marLeft w:val="0"/>
      <w:marRight w:val="0"/>
      <w:marTop w:val="0"/>
      <w:marBottom w:val="0"/>
      <w:divBdr>
        <w:top w:val="none" w:sz="0" w:space="0" w:color="auto"/>
        <w:left w:val="none" w:sz="0" w:space="0" w:color="auto"/>
        <w:bottom w:val="none" w:sz="0" w:space="0" w:color="auto"/>
        <w:right w:val="none" w:sz="0" w:space="0" w:color="auto"/>
      </w:divBdr>
    </w:div>
    <w:div w:id="254477764">
      <w:bodyDiv w:val="1"/>
      <w:marLeft w:val="0"/>
      <w:marRight w:val="0"/>
      <w:marTop w:val="0"/>
      <w:marBottom w:val="0"/>
      <w:divBdr>
        <w:top w:val="none" w:sz="0" w:space="0" w:color="auto"/>
        <w:left w:val="none" w:sz="0" w:space="0" w:color="auto"/>
        <w:bottom w:val="none" w:sz="0" w:space="0" w:color="auto"/>
        <w:right w:val="none" w:sz="0" w:space="0" w:color="auto"/>
      </w:divBdr>
    </w:div>
    <w:div w:id="40561596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77636300">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92669808">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729255325">
      <w:bodyDiv w:val="1"/>
      <w:marLeft w:val="0"/>
      <w:marRight w:val="0"/>
      <w:marTop w:val="0"/>
      <w:marBottom w:val="0"/>
      <w:divBdr>
        <w:top w:val="none" w:sz="0" w:space="0" w:color="auto"/>
        <w:left w:val="none" w:sz="0" w:space="0" w:color="auto"/>
        <w:bottom w:val="none" w:sz="0" w:space="0" w:color="auto"/>
        <w:right w:val="none" w:sz="0" w:space="0" w:color="auto"/>
      </w:divBdr>
    </w:div>
    <w:div w:id="1835952917">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www.w3.org/XML/1998/namespace"/>
    <ds:schemaRef ds:uri="c8c76e99-bfbc-4ac6-b8a2-12a48c184727"/>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21a3cdd7-b7f5-4e00-b9e7-681cfd136eac"/>
    <ds:schemaRef ds:uri="http://schemas.microsoft.com/office/2006/metadata/properties"/>
  </ds:schemaRefs>
</ds:datastoreItem>
</file>

<file path=customXml/itemProps4.xml><?xml version="1.0" encoding="utf-8"?>
<ds:datastoreItem xmlns:ds="http://schemas.openxmlformats.org/officeDocument/2006/customXml" ds:itemID="{CA87A4A5-3C12-4897-8B48-E6E0F436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4198</Words>
  <Characters>2393</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2024-08-23T20:23:00Z</dcterms:created>
  <dcterms:modified xsi:type="dcterms:W3CDTF">2024-08-26T21:01:00Z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