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1A" w:rsidRPr="007B28A6" w:rsidRDefault="0047291A" w:rsidP="004729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sz w:val="24"/>
          <w:szCs w:val="24"/>
        </w:rPr>
        <w:t>ПОВІДОМЛЕННЯ</w:t>
      </w:r>
    </w:p>
    <w:p w:rsidR="0047291A" w:rsidRPr="007B28A6" w:rsidRDefault="0047291A" w:rsidP="0047291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Про намір отримання дозволу для ознайомлення з ним громадськості: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bookmarkStart w:id="0" w:name="_Hlk164080838"/>
      <w:r w:rsidRPr="007B28A6">
        <w:rPr>
          <w:rFonts w:ascii="Arial" w:hAnsi="Arial" w:cs="Arial"/>
          <w:i/>
          <w:sz w:val="24"/>
          <w:szCs w:val="24"/>
        </w:rPr>
        <w:t xml:space="preserve">повне та скорочене найменування суб’єкта господарювання </w:t>
      </w:r>
      <w:r w:rsidRPr="007B28A6">
        <w:rPr>
          <w:rFonts w:ascii="Arial" w:eastAsia="Calibri" w:hAnsi="Arial" w:cs="Arial"/>
          <w:sz w:val="24"/>
          <w:szCs w:val="24"/>
        </w:rPr>
        <w:t xml:space="preserve">– Приватне акціонерне товариство "Концерн </w:t>
      </w:r>
      <w:proofErr w:type="spellStart"/>
      <w:r w:rsidRPr="007B28A6">
        <w:rPr>
          <w:rFonts w:ascii="Arial" w:eastAsia="Calibri" w:hAnsi="Arial" w:cs="Arial"/>
          <w:sz w:val="24"/>
          <w:szCs w:val="24"/>
        </w:rPr>
        <w:t>Хлібпром</w:t>
      </w:r>
      <w:proofErr w:type="spellEnd"/>
      <w:r w:rsidRPr="007B28A6">
        <w:rPr>
          <w:rFonts w:ascii="Arial" w:eastAsia="Calibri" w:hAnsi="Arial" w:cs="Arial"/>
          <w:sz w:val="24"/>
          <w:szCs w:val="24"/>
        </w:rPr>
        <w:t xml:space="preserve">" (ПрАТ "Концерн </w:t>
      </w:r>
      <w:proofErr w:type="spellStart"/>
      <w:r w:rsidRPr="007B28A6">
        <w:rPr>
          <w:rFonts w:ascii="Arial" w:eastAsia="Calibri" w:hAnsi="Arial" w:cs="Arial"/>
          <w:sz w:val="24"/>
          <w:szCs w:val="24"/>
        </w:rPr>
        <w:t>Хлібпром</w:t>
      </w:r>
      <w:proofErr w:type="spellEnd"/>
      <w:r w:rsidRPr="007B28A6">
        <w:rPr>
          <w:rFonts w:ascii="Arial" w:eastAsia="Calibri" w:hAnsi="Arial" w:cs="Arial"/>
          <w:sz w:val="24"/>
          <w:szCs w:val="24"/>
        </w:rPr>
        <w:t>");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ідентифікаційний код юридичної особи в ЄДРПОУ</w:t>
      </w:r>
      <w:r w:rsidRPr="007B28A6">
        <w:rPr>
          <w:rFonts w:ascii="Arial" w:hAnsi="Arial" w:cs="Arial"/>
          <w:sz w:val="24"/>
          <w:szCs w:val="24"/>
        </w:rPr>
        <w:t xml:space="preserve"> – </w:t>
      </w:r>
      <w:r w:rsidRPr="007B28A6">
        <w:rPr>
          <w:rFonts w:ascii="Arial" w:eastAsia="Calibri" w:hAnsi="Arial" w:cs="Arial"/>
          <w:sz w:val="24"/>
          <w:szCs w:val="24"/>
        </w:rPr>
        <w:t>05511001</w:t>
      </w:r>
      <w:r w:rsidRPr="007B28A6">
        <w:rPr>
          <w:rFonts w:ascii="Arial" w:hAnsi="Arial" w:cs="Arial"/>
          <w:sz w:val="24"/>
          <w:szCs w:val="24"/>
        </w:rPr>
        <w:t>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 xml:space="preserve">місцезнаходження суб’єкта господарювання, контактний номер телефону, адресу електронної пошти суб’єкта господарювання </w:t>
      </w:r>
      <w:r w:rsidRPr="007B28A6">
        <w:rPr>
          <w:rFonts w:ascii="Arial" w:hAnsi="Arial" w:cs="Arial"/>
          <w:sz w:val="24"/>
          <w:szCs w:val="24"/>
        </w:rPr>
        <w:t xml:space="preserve">– </w:t>
      </w:r>
      <w:r w:rsidRPr="007B28A6">
        <w:rPr>
          <w:rFonts w:ascii="Arial" w:eastAsia="Calibri" w:hAnsi="Arial" w:cs="Arial"/>
          <w:sz w:val="24"/>
          <w:szCs w:val="24"/>
        </w:rPr>
        <w:t xml:space="preserve">79035, Львівська обл., м. </w:t>
      </w:r>
      <w:proofErr w:type="spellStart"/>
      <w:r w:rsidRPr="007B28A6">
        <w:rPr>
          <w:rFonts w:ascii="Arial" w:eastAsia="Calibri" w:hAnsi="Arial" w:cs="Arial"/>
          <w:sz w:val="24"/>
          <w:szCs w:val="24"/>
        </w:rPr>
        <w:t>Львiв</w:t>
      </w:r>
      <w:proofErr w:type="spellEnd"/>
      <w:r w:rsidRPr="007B28A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7B28A6">
        <w:rPr>
          <w:rFonts w:ascii="Arial" w:eastAsia="Calibri" w:hAnsi="Arial" w:cs="Arial"/>
          <w:sz w:val="24"/>
          <w:szCs w:val="24"/>
        </w:rPr>
        <w:t>Сихівський</w:t>
      </w:r>
      <w:proofErr w:type="spellEnd"/>
      <w:r w:rsidRPr="007B28A6">
        <w:rPr>
          <w:rFonts w:ascii="Arial" w:eastAsia="Calibri" w:hAnsi="Arial" w:cs="Arial"/>
          <w:sz w:val="24"/>
          <w:szCs w:val="24"/>
        </w:rPr>
        <w:t xml:space="preserve"> р-н, вул. </w:t>
      </w:r>
      <w:proofErr w:type="spellStart"/>
      <w:r w:rsidRPr="007B28A6">
        <w:rPr>
          <w:rFonts w:ascii="Arial" w:eastAsia="Calibri" w:hAnsi="Arial" w:cs="Arial"/>
          <w:sz w:val="24"/>
          <w:szCs w:val="24"/>
        </w:rPr>
        <w:t>Хлiбна</w:t>
      </w:r>
      <w:proofErr w:type="spellEnd"/>
      <w:r w:rsidRPr="007B28A6">
        <w:rPr>
          <w:rFonts w:ascii="Arial" w:eastAsia="Calibri" w:hAnsi="Arial" w:cs="Arial"/>
          <w:sz w:val="24"/>
          <w:szCs w:val="24"/>
        </w:rPr>
        <w:t xml:space="preserve">, 2, </w:t>
      </w:r>
      <w:proofErr w:type="spellStart"/>
      <w:r w:rsidRPr="007B28A6">
        <w:rPr>
          <w:rFonts w:ascii="Arial" w:eastAsia="Calibri" w:hAnsi="Arial" w:cs="Arial"/>
          <w:sz w:val="24"/>
          <w:szCs w:val="24"/>
        </w:rPr>
        <w:t>тел</w:t>
      </w:r>
      <w:proofErr w:type="spellEnd"/>
      <w:r w:rsidRPr="007B28A6">
        <w:rPr>
          <w:rFonts w:ascii="Arial" w:eastAsia="Calibri" w:hAnsi="Arial" w:cs="Arial"/>
          <w:sz w:val="24"/>
          <w:szCs w:val="24"/>
        </w:rPr>
        <w:t xml:space="preserve">. +38 (032) 297-72-70, </w:t>
      </w:r>
      <w:r w:rsidRPr="007B28A6">
        <w:rPr>
          <w:rFonts w:ascii="Arial" w:hAnsi="Arial" w:cs="Arial"/>
          <w:sz w:val="24"/>
          <w:szCs w:val="24"/>
        </w:rPr>
        <w:t>e-</w:t>
      </w:r>
      <w:proofErr w:type="spellStart"/>
      <w:r w:rsidRPr="007B28A6">
        <w:rPr>
          <w:rFonts w:ascii="Arial" w:hAnsi="Arial" w:cs="Arial"/>
          <w:sz w:val="24"/>
          <w:szCs w:val="24"/>
        </w:rPr>
        <w:t>mail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: </w:t>
      </w:r>
      <w:r w:rsidRPr="007B28A6">
        <w:rPr>
          <w:rFonts w:ascii="Arial" w:eastAsia="Calibri" w:hAnsi="Arial" w:cs="Arial"/>
          <w:sz w:val="24"/>
          <w:szCs w:val="24"/>
        </w:rPr>
        <w:t xml:space="preserve">info@hlibprom.com.ua; 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 xml:space="preserve">місцезнаходження об’єкта/промислового майданчика </w:t>
      </w:r>
      <w:r w:rsidRPr="007B28A6">
        <w:rPr>
          <w:rFonts w:ascii="Arial" w:hAnsi="Arial" w:cs="Arial"/>
          <w:sz w:val="24"/>
          <w:szCs w:val="24"/>
        </w:rPr>
        <w:t xml:space="preserve">– </w:t>
      </w:r>
      <w:r w:rsidRPr="007B28A6">
        <w:rPr>
          <w:rFonts w:ascii="Arial" w:eastAsia="Calibri" w:hAnsi="Arial" w:cs="Arial"/>
          <w:sz w:val="24"/>
          <w:szCs w:val="24"/>
        </w:rPr>
        <w:t>79019, Львівська обл., м. Львів, Шевченківський р-н, вул. Східна, 45;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мета отримання дозволу на викиди</w:t>
      </w:r>
      <w:r w:rsidRPr="007B28A6">
        <w:rPr>
          <w:rFonts w:ascii="Arial" w:hAnsi="Arial" w:cs="Arial"/>
          <w:sz w:val="24"/>
          <w:szCs w:val="24"/>
        </w:rPr>
        <w:t xml:space="preserve"> – отримання дозволу для діючого об’єкту;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відомості про наявність висновку в оцінки впливу на довкілля, в якому визначено допустимість провадження планованої діяльності, яка згідно з вимогами Закону України «Про оцінку впливу на довкілля» підлягає оцінці впливу на довкілля</w:t>
      </w:r>
      <w:r w:rsidRPr="007B28A6">
        <w:rPr>
          <w:rFonts w:ascii="Arial" w:hAnsi="Arial" w:cs="Arial"/>
          <w:sz w:val="24"/>
          <w:szCs w:val="24"/>
        </w:rPr>
        <w:t xml:space="preserve"> – планова діяльність Виробничого підрозділу "Цех кондитерських виробів" ПрАТ "Концерн </w:t>
      </w:r>
      <w:proofErr w:type="spellStart"/>
      <w:r w:rsidRPr="007B28A6">
        <w:rPr>
          <w:rFonts w:ascii="Arial" w:hAnsi="Arial" w:cs="Arial"/>
          <w:sz w:val="24"/>
          <w:szCs w:val="24"/>
        </w:rPr>
        <w:t>Хлібпром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" не підлягає оцінці впливу на довкілля відповідно до </w:t>
      </w:r>
      <w:hyperlink r:id="rId4" w:anchor="n9" w:tgtFrame="_blank" w:history="1">
        <w:r w:rsidRPr="007B28A6">
          <w:rPr>
            <w:rStyle w:val="a3"/>
            <w:rFonts w:ascii="Arial" w:hAnsi="Arial" w:cs="Arial"/>
            <w:sz w:val="24"/>
            <w:szCs w:val="24"/>
          </w:rPr>
          <w:t>пункту 3 частини першої статті 1</w:t>
        </w:r>
      </w:hyperlink>
      <w:r w:rsidRPr="007B28A6">
        <w:rPr>
          <w:rFonts w:ascii="Arial" w:hAnsi="Arial" w:cs="Arial"/>
          <w:sz w:val="24"/>
          <w:szCs w:val="24"/>
        </w:rPr>
        <w:t xml:space="preserve">, </w:t>
      </w:r>
      <w:hyperlink r:id="rId5" w:anchor="n23" w:tgtFrame="_blank" w:history="1">
        <w:r w:rsidRPr="007B28A6">
          <w:rPr>
            <w:rStyle w:val="a3"/>
            <w:rFonts w:ascii="Arial" w:hAnsi="Arial" w:cs="Arial"/>
            <w:sz w:val="24"/>
            <w:szCs w:val="24"/>
          </w:rPr>
          <w:t>абзацу другого частини першої</w:t>
        </w:r>
      </w:hyperlink>
      <w:r w:rsidRPr="007B28A6">
        <w:rPr>
          <w:rFonts w:ascii="Arial" w:hAnsi="Arial" w:cs="Arial"/>
          <w:sz w:val="24"/>
          <w:szCs w:val="24"/>
        </w:rPr>
        <w:t xml:space="preserve">, </w:t>
      </w:r>
      <w:hyperlink r:id="rId6" w:anchor="n55" w:tgtFrame="_blank" w:history="1">
        <w:r w:rsidRPr="007B28A6">
          <w:rPr>
            <w:rStyle w:val="a3"/>
            <w:rFonts w:ascii="Arial" w:hAnsi="Arial" w:cs="Arial"/>
            <w:sz w:val="24"/>
            <w:szCs w:val="24"/>
          </w:rPr>
          <w:t>пункту 22 частини другої</w:t>
        </w:r>
      </w:hyperlink>
      <w:r w:rsidRPr="007B28A6">
        <w:rPr>
          <w:rFonts w:ascii="Arial" w:hAnsi="Arial" w:cs="Arial"/>
          <w:sz w:val="24"/>
          <w:szCs w:val="24"/>
        </w:rPr>
        <w:t xml:space="preserve"> та </w:t>
      </w:r>
      <w:hyperlink r:id="rId7" w:anchor="n157" w:tgtFrame="_blank" w:history="1">
        <w:r w:rsidRPr="007B28A6">
          <w:rPr>
            <w:rStyle w:val="a3"/>
            <w:rFonts w:ascii="Arial" w:hAnsi="Arial" w:cs="Arial"/>
            <w:sz w:val="24"/>
            <w:szCs w:val="24"/>
          </w:rPr>
          <w:t>пункту 14 частини третьої статті 3</w:t>
        </w:r>
      </w:hyperlink>
      <w:r w:rsidRPr="007B28A6">
        <w:rPr>
          <w:rFonts w:ascii="Arial" w:hAnsi="Arial" w:cs="Arial"/>
          <w:sz w:val="24"/>
          <w:szCs w:val="24"/>
        </w:rPr>
        <w:t xml:space="preserve"> Закону України „Про оцінку впливу на довкілля” та до постанови Кабінету Міністрів України від 13 грудня 2017 р. № 1010 „Про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довкілля”; 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загальний опис об’єкта (опис виробництва та технологічного устаткування)</w:t>
      </w:r>
      <w:r w:rsidRPr="007B28A6">
        <w:rPr>
          <w:rFonts w:ascii="Arial" w:hAnsi="Arial" w:cs="Arial"/>
          <w:sz w:val="24"/>
          <w:szCs w:val="24"/>
        </w:rPr>
        <w:t xml:space="preserve"> – Виробничий підрозділ "Цех кондитерських виробів" ПрАТ "Концерн </w:t>
      </w:r>
      <w:proofErr w:type="spellStart"/>
      <w:r w:rsidRPr="007B28A6">
        <w:rPr>
          <w:rFonts w:ascii="Arial" w:hAnsi="Arial" w:cs="Arial"/>
          <w:sz w:val="24"/>
          <w:szCs w:val="24"/>
        </w:rPr>
        <w:t>Хлібпром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" спеціалізується на виготовленні хлібних напівфабрикатів та продукції високого ступеня готовності, використовуючи при цьому технологію шокової заморозки. У процесі виробництва на заводі повністю виключено вплив людського фактору на якість продукції, а функції працівників зводяться до запуску ліній та технологічного контролю за відповідними показниками процесу виробництва на моніторах. Сучасне обладнання дозволяє виготовляти широкий асортиментний ряд. Середньодобова потужність виробничого підрозділу - 12 </w:t>
      </w:r>
      <w:proofErr w:type="spellStart"/>
      <w:r w:rsidRPr="007B28A6">
        <w:rPr>
          <w:rFonts w:ascii="Arial" w:hAnsi="Arial" w:cs="Arial"/>
          <w:sz w:val="24"/>
          <w:szCs w:val="24"/>
        </w:rPr>
        <w:t>тонн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або 360 тисяч хлібців на добу. </w:t>
      </w:r>
      <w:proofErr w:type="spellStart"/>
      <w:r w:rsidRPr="007B28A6">
        <w:rPr>
          <w:rFonts w:ascii="Arial" w:hAnsi="Arial" w:cs="Arial"/>
          <w:sz w:val="24"/>
          <w:szCs w:val="24"/>
        </w:rPr>
        <w:t>Листково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-дріжджові напівфабрикати представлені 25 різновидами з натуральними солодкими та пікантними начинками на будь-який смак. На території промислового майданчика розміщені наступні споруди та будівлі: офісні приміщення, виробничі цехи та магазин. Для виробництва хлібобулочних виробів та </w:t>
      </w:r>
      <w:proofErr w:type="spellStart"/>
      <w:r w:rsidRPr="007B28A6">
        <w:rPr>
          <w:rFonts w:ascii="Arial" w:hAnsi="Arial" w:cs="Arial"/>
          <w:sz w:val="24"/>
          <w:szCs w:val="24"/>
        </w:rPr>
        <w:t>круасанів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служать: три печі </w:t>
      </w:r>
      <w:proofErr w:type="spellStart"/>
      <w:r w:rsidRPr="007B28A6">
        <w:rPr>
          <w:rFonts w:ascii="Arial" w:hAnsi="Arial" w:cs="Arial"/>
          <w:sz w:val="24"/>
          <w:szCs w:val="24"/>
        </w:rPr>
        <w:t>Kornfille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28A6">
        <w:rPr>
          <w:rFonts w:ascii="Arial" w:hAnsi="Arial" w:cs="Arial"/>
          <w:sz w:val="24"/>
          <w:szCs w:val="24"/>
        </w:rPr>
        <w:t>Variant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B22/6, дві печі </w:t>
      </w:r>
      <w:proofErr w:type="spellStart"/>
      <w:r w:rsidRPr="007B28A6">
        <w:rPr>
          <w:rFonts w:ascii="Arial" w:hAnsi="Arial" w:cs="Arial"/>
          <w:sz w:val="24"/>
          <w:szCs w:val="24"/>
        </w:rPr>
        <w:t>Bongard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, дві печі FTS, три печі MIWE </w:t>
      </w:r>
      <w:proofErr w:type="spellStart"/>
      <w:r w:rsidRPr="007B28A6">
        <w:rPr>
          <w:rFonts w:ascii="Arial" w:hAnsi="Arial" w:cs="Arial"/>
          <w:sz w:val="24"/>
          <w:szCs w:val="24"/>
        </w:rPr>
        <w:t>roll-in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. Безперебійне постачання борошна у виробничі цехи відбувається зі складу безтарного зберігання борошна, на якому встановлено п’ять </w:t>
      </w:r>
      <w:proofErr w:type="spellStart"/>
      <w:r w:rsidRPr="007B28A6">
        <w:rPr>
          <w:rFonts w:ascii="Arial" w:hAnsi="Arial" w:cs="Arial"/>
          <w:sz w:val="24"/>
          <w:szCs w:val="24"/>
        </w:rPr>
        <w:t>силосів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(об’єм кожного 50 м</w:t>
      </w:r>
      <w:r w:rsidRPr="007B28A6">
        <w:rPr>
          <w:rFonts w:ascii="Arial" w:hAnsi="Arial" w:cs="Arial"/>
          <w:sz w:val="24"/>
          <w:szCs w:val="24"/>
          <w:vertAlign w:val="superscript"/>
        </w:rPr>
        <w:t>3</w:t>
      </w:r>
      <w:r w:rsidRPr="007B28A6">
        <w:rPr>
          <w:rFonts w:ascii="Arial" w:hAnsi="Arial" w:cs="Arial"/>
          <w:sz w:val="24"/>
          <w:szCs w:val="24"/>
        </w:rPr>
        <w:t xml:space="preserve">). Для пакування готової продукції встановлено дві пакувальні машини SETAPACK 450. Для обсмажування кави служать: два </w:t>
      </w:r>
      <w:proofErr w:type="spellStart"/>
      <w:r w:rsidRPr="007B28A6">
        <w:rPr>
          <w:rFonts w:ascii="Arial" w:hAnsi="Arial" w:cs="Arial"/>
          <w:sz w:val="24"/>
          <w:szCs w:val="24"/>
        </w:rPr>
        <w:t>ростери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28A6">
        <w:rPr>
          <w:rFonts w:ascii="Arial" w:hAnsi="Arial" w:cs="Arial"/>
          <w:sz w:val="24"/>
          <w:szCs w:val="24"/>
          <w:lang w:val="en-US"/>
        </w:rPr>
        <w:t>Probat</w:t>
      </w:r>
      <w:proofErr w:type="spellEnd"/>
      <w:r w:rsidRPr="007B28A6">
        <w:rPr>
          <w:rFonts w:ascii="Arial" w:hAnsi="Arial" w:cs="Arial"/>
          <w:sz w:val="24"/>
          <w:szCs w:val="24"/>
          <w:lang w:val="ru-RU"/>
        </w:rPr>
        <w:t xml:space="preserve"> </w:t>
      </w:r>
      <w:r w:rsidRPr="007B28A6">
        <w:rPr>
          <w:rFonts w:ascii="Arial" w:hAnsi="Arial" w:cs="Arial"/>
          <w:sz w:val="24"/>
          <w:szCs w:val="24"/>
          <w:lang w:val="en-US"/>
        </w:rPr>
        <w:t>PX</w:t>
      </w:r>
      <w:r w:rsidRPr="007B28A6">
        <w:rPr>
          <w:rFonts w:ascii="Arial" w:hAnsi="Arial" w:cs="Arial"/>
          <w:sz w:val="24"/>
          <w:szCs w:val="24"/>
          <w:lang w:val="ru-RU"/>
        </w:rPr>
        <w:t xml:space="preserve">120 </w:t>
      </w:r>
      <w:r w:rsidRPr="007B28A6">
        <w:rPr>
          <w:rFonts w:ascii="Arial" w:hAnsi="Arial" w:cs="Arial"/>
          <w:sz w:val="24"/>
          <w:szCs w:val="24"/>
        </w:rPr>
        <w:t xml:space="preserve">(пальники), два </w:t>
      </w:r>
      <w:proofErr w:type="spellStart"/>
      <w:r w:rsidRPr="007B28A6">
        <w:rPr>
          <w:rFonts w:ascii="Arial" w:hAnsi="Arial" w:cs="Arial"/>
          <w:sz w:val="24"/>
          <w:szCs w:val="24"/>
        </w:rPr>
        <w:t>ростери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28A6">
        <w:rPr>
          <w:rFonts w:ascii="Arial" w:hAnsi="Arial" w:cs="Arial"/>
          <w:sz w:val="24"/>
          <w:szCs w:val="24"/>
          <w:lang w:val="en-US"/>
        </w:rPr>
        <w:t>Probat</w:t>
      </w:r>
      <w:proofErr w:type="spellEnd"/>
      <w:r w:rsidRPr="007B28A6">
        <w:rPr>
          <w:rFonts w:ascii="Arial" w:hAnsi="Arial" w:cs="Arial"/>
          <w:sz w:val="24"/>
          <w:szCs w:val="24"/>
          <w:lang w:val="ru-RU"/>
        </w:rPr>
        <w:t xml:space="preserve"> </w:t>
      </w:r>
      <w:r w:rsidRPr="007B28A6">
        <w:rPr>
          <w:rFonts w:ascii="Arial" w:hAnsi="Arial" w:cs="Arial"/>
          <w:sz w:val="24"/>
          <w:szCs w:val="24"/>
          <w:lang w:val="en-US"/>
        </w:rPr>
        <w:t>PX</w:t>
      </w:r>
      <w:r w:rsidRPr="007B28A6">
        <w:rPr>
          <w:rFonts w:ascii="Arial" w:hAnsi="Arial" w:cs="Arial"/>
          <w:sz w:val="24"/>
          <w:szCs w:val="24"/>
          <w:lang w:val="ru-RU"/>
        </w:rPr>
        <w:t xml:space="preserve">120 </w:t>
      </w:r>
      <w:r w:rsidRPr="007B28A6">
        <w:rPr>
          <w:rFonts w:ascii="Arial" w:hAnsi="Arial" w:cs="Arial"/>
          <w:sz w:val="24"/>
          <w:szCs w:val="24"/>
        </w:rPr>
        <w:t>(</w:t>
      </w:r>
      <w:proofErr w:type="spellStart"/>
      <w:r w:rsidRPr="007B28A6">
        <w:rPr>
          <w:rFonts w:ascii="Arial" w:hAnsi="Arial" w:cs="Arial"/>
          <w:sz w:val="24"/>
          <w:szCs w:val="24"/>
        </w:rPr>
        <w:t>допалювачі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) та один </w:t>
      </w:r>
      <w:proofErr w:type="spellStart"/>
      <w:r w:rsidRPr="007B28A6">
        <w:rPr>
          <w:rFonts w:ascii="Arial" w:hAnsi="Arial" w:cs="Arial"/>
          <w:sz w:val="24"/>
          <w:szCs w:val="24"/>
        </w:rPr>
        <w:t>ростер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для </w:t>
      </w:r>
      <w:proofErr w:type="spellStart"/>
      <w:r w:rsidRPr="007B28A6">
        <w:rPr>
          <w:rFonts w:ascii="Arial" w:hAnsi="Arial" w:cs="Arial"/>
          <w:sz w:val="24"/>
          <w:szCs w:val="24"/>
        </w:rPr>
        <w:t>тестувального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обсмажування кави. Для обігріву приміщень підприємства в зимовий період, служать: газовий паровий котел, три газових котла Рівнетерм-96, три  газових котла </w:t>
      </w:r>
      <w:proofErr w:type="spellStart"/>
      <w:r w:rsidRPr="007B28A6">
        <w:rPr>
          <w:rFonts w:ascii="Arial" w:hAnsi="Arial" w:cs="Arial"/>
          <w:sz w:val="24"/>
          <w:szCs w:val="24"/>
        </w:rPr>
        <w:t>Thermona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28A6">
        <w:rPr>
          <w:rFonts w:ascii="Arial" w:hAnsi="Arial" w:cs="Arial"/>
          <w:sz w:val="24"/>
          <w:szCs w:val="24"/>
        </w:rPr>
        <w:t>Therm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TRIO 90T, газовий котел ARISTON, газовий котел </w:t>
      </w:r>
      <w:proofErr w:type="spellStart"/>
      <w:r w:rsidRPr="007B28A6">
        <w:rPr>
          <w:rFonts w:ascii="Arial" w:hAnsi="Arial" w:cs="Arial"/>
          <w:sz w:val="24"/>
          <w:szCs w:val="24"/>
        </w:rPr>
        <w:t>Vaillant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, чотири парапетних газових пристрої та газовий конвектор. При виникненні аварійних ситуацій в електромережах чи запланованих стабілізаційних відключеннях, служить дизельний генератор </w:t>
      </w:r>
      <w:proofErr w:type="spellStart"/>
      <w:r w:rsidRPr="007B28A6">
        <w:rPr>
          <w:rFonts w:ascii="Arial" w:hAnsi="Arial" w:cs="Arial"/>
          <w:sz w:val="24"/>
          <w:szCs w:val="24"/>
        </w:rPr>
        <w:t>Malcomson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 ML800-SD3, призначений для забезпечення електроенергією приміщення підприємства. Для дрібного поточного ремонту обладнання на території підприємства розміщена механічна майстерня.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iCs/>
          <w:sz w:val="24"/>
          <w:szCs w:val="24"/>
          <w:highlight w:val="yellow"/>
        </w:rPr>
      </w:pPr>
      <w:r w:rsidRPr="007B28A6">
        <w:rPr>
          <w:rFonts w:ascii="Arial" w:hAnsi="Arial" w:cs="Arial"/>
          <w:i/>
          <w:sz w:val="24"/>
          <w:szCs w:val="24"/>
        </w:rPr>
        <w:t xml:space="preserve">відомості щодо видів та обсягів викидів – </w:t>
      </w:r>
      <w:r w:rsidRPr="007B28A6">
        <w:rPr>
          <w:rFonts w:ascii="Arial" w:hAnsi="Arial" w:cs="Arial"/>
          <w:iCs/>
          <w:sz w:val="24"/>
          <w:szCs w:val="24"/>
        </w:rPr>
        <w:t xml:space="preserve">у результаті виробничої діяльності стаціонарних джерел промислового майданчика Виробничого підрозділу "Цех кондитерських виробів" ПрАТ "Концерн 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Хлібпром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>" (за умови роботи усіх допоміжних виробництв підприємства) в атмосферне повітря здійснюватимуться потенційні викиди наступних забруднюючих речовин (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тонн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 xml:space="preserve">/рік): заліза оксид (в 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переpахунку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 xml:space="preserve"> на залізо) – 0,002; марганець та його з’єднання (в 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переpахунку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 xml:space="preserve"> на діоксид марганцю) – 0,000; азоту діоксид – 2,216; ангідрид сірчистий – 0,022; вуглецю оксид – 7,134; спирт етиловий – 0,673; кислота оцтова – 0,148; фурфурол – 0,037; вуглеводні насичені С</w:t>
      </w:r>
      <w:r w:rsidRPr="007B28A6">
        <w:rPr>
          <w:rFonts w:ascii="Arial" w:hAnsi="Arial" w:cs="Arial"/>
          <w:iCs/>
          <w:sz w:val="24"/>
          <w:szCs w:val="24"/>
          <w:vertAlign w:val="subscript"/>
        </w:rPr>
        <w:t>12</w:t>
      </w:r>
      <w:r w:rsidRPr="007B28A6">
        <w:rPr>
          <w:rFonts w:ascii="Arial" w:hAnsi="Arial" w:cs="Arial"/>
          <w:iCs/>
          <w:sz w:val="24"/>
          <w:szCs w:val="24"/>
        </w:rPr>
        <w:t>-С</w:t>
      </w:r>
      <w:r w:rsidRPr="007B28A6">
        <w:rPr>
          <w:rFonts w:ascii="Arial" w:hAnsi="Arial" w:cs="Arial"/>
          <w:iCs/>
          <w:sz w:val="24"/>
          <w:szCs w:val="24"/>
          <w:vertAlign w:val="subscript"/>
        </w:rPr>
        <w:t>19</w:t>
      </w:r>
      <w:r w:rsidRPr="007B28A6">
        <w:rPr>
          <w:rFonts w:ascii="Arial" w:hAnsi="Arial" w:cs="Arial"/>
          <w:iCs/>
          <w:sz w:val="24"/>
          <w:szCs w:val="24"/>
        </w:rPr>
        <w:t xml:space="preserve"> (розчинник РПК-26611 і ін.) у перерахунку на сумарний органічний вуглець – 0,007; суспендовані частинки, недиференційовані за складом – 1,350, а також парникові гази: метан – 0,030; діоксид </w:t>
      </w:r>
      <w:r w:rsidRPr="007B28A6">
        <w:rPr>
          <w:rFonts w:ascii="Arial" w:hAnsi="Arial" w:cs="Arial"/>
          <w:iCs/>
          <w:sz w:val="24"/>
          <w:szCs w:val="24"/>
        </w:rPr>
        <w:lastRenderedPageBreak/>
        <w:t xml:space="preserve">вуглецю – 54,708, оксид 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діазоту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 xml:space="preserve"> – 0,000, НМЛОС – 0,005. Загальний річний обсяг викидів забруднюючих речовин складає 11,589 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тонн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 xml:space="preserve">, парникові гази – 54,743 </w:t>
      </w:r>
      <w:proofErr w:type="spellStart"/>
      <w:r w:rsidRPr="007B28A6">
        <w:rPr>
          <w:rFonts w:ascii="Arial" w:hAnsi="Arial" w:cs="Arial"/>
          <w:iCs/>
          <w:sz w:val="24"/>
          <w:szCs w:val="24"/>
        </w:rPr>
        <w:t>тонн</w:t>
      </w:r>
      <w:proofErr w:type="spellEnd"/>
      <w:r w:rsidRPr="007B28A6">
        <w:rPr>
          <w:rFonts w:ascii="Arial" w:hAnsi="Arial" w:cs="Arial"/>
          <w:iCs/>
          <w:sz w:val="24"/>
          <w:szCs w:val="24"/>
        </w:rPr>
        <w:t xml:space="preserve">. </w:t>
      </w:r>
      <w:r w:rsidRPr="007B28A6">
        <w:rPr>
          <w:rFonts w:ascii="Arial" w:hAnsi="Arial" w:cs="Arial"/>
          <w:sz w:val="24"/>
          <w:szCs w:val="24"/>
        </w:rPr>
        <w:t xml:space="preserve">Зафіксовані перевищення порогових значень потенційних викидів забруднюючих речовин: </w:t>
      </w:r>
      <w:r w:rsidRPr="007B28A6">
        <w:rPr>
          <w:rFonts w:ascii="Arial" w:hAnsi="Arial" w:cs="Arial"/>
          <w:iCs/>
          <w:sz w:val="24"/>
          <w:szCs w:val="24"/>
        </w:rPr>
        <w:t xml:space="preserve">азоту діоксиду та </w:t>
      </w:r>
      <w:r w:rsidRPr="007B28A6">
        <w:rPr>
          <w:rFonts w:ascii="Arial" w:hAnsi="Arial" w:cs="Arial"/>
          <w:sz w:val="24"/>
          <w:szCs w:val="24"/>
        </w:rPr>
        <w:t xml:space="preserve"> </w:t>
      </w:r>
      <w:r w:rsidRPr="007B28A6">
        <w:rPr>
          <w:rFonts w:ascii="Arial" w:hAnsi="Arial" w:cs="Arial"/>
          <w:iCs/>
          <w:sz w:val="24"/>
          <w:szCs w:val="24"/>
        </w:rPr>
        <w:t>вуглецю оксиду</w:t>
      </w:r>
      <w:r w:rsidRPr="007B28A6">
        <w:rPr>
          <w:rFonts w:ascii="Arial" w:hAnsi="Arial" w:cs="Arial"/>
          <w:sz w:val="24"/>
          <w:szCs w:val="24"/>
        </w:rPr>
        <w:t xml:space="preserve">, тому, згідно ступеня впливу на забруднення атмосферного повітря, об’єкт відноситься до другої групи, що передбачає взяття його на державний облік об’єктів, які справляють або можуть справити шкідливий вплив на здоров’я людей і стан атмосферного повітря, видів та обсягів забруднюючих речовин, що викидаються в атмосферне повітря відповідно до Наказу № 177 від 10.05.2002р. </w:t>
      </w:r>
      <w:r w:rsidRPr="007B28A6">
        <w:rPr>
          <w:rFonts w:ascii="Arial" w:hAnsi="Arial" w:cs="Arial"/>
          <w:iCs/>
          <w:sz w:val="24"/>
          <w:szCs w:val="24"/>
        </w:rPr>
        <w:t>На об’єкті немає виробництв або технологічного устаткування, на яких повинні впроваджуватися найкращі доступні технології та методи керування;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заходи щодо впровадження найкращих існуючих технологій виробництва, що виконані або/та які потребують виконання</w:t>
      </w:r>
      <w:r w:rsidRPr="007B28A6">
        <w:rPr>
          <w:rFonts w:ascii="Arial" w:hAnsi="Arial" w:cs="Arial"/>
          <w:sz w:val="24"/>
          <w:szCs w:val="24"/>
        </w:rPr>
        <w:t xml:space="preserve"> – відповідно до Наказу Міністерства охорони навколишнього природного середовища України №108 від 09.03.2006р. заходи щодо впровадження найкращих існуючих технологій виробництва не розроблялися;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перелік заходів щодо скорочення викидів, що виконані або/та які потребують виконання</w:t>
      </w:r>
      <w:r w:rsidRPr="007B28A6">
        <w:rPr>
          <w:rFonts w:ascii="Arial" w:hAnsi="Arial" w:cs="Arial"/>
          <w:sz w:val="24"/>
          <w:szCs w:val="24"/>
        </w:rPr>
        <w:t xml:space="preserve"> – не розроблялися;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дотримання виконання природоохоронних заходів щодо скорочення викидів</w:t>
      </w:r>
      <w:r w:rsidRPr="007B28A6">
        <w:rPr>
          <w:rFonts w:ascii="Arial" w:hAnsi="Arial" w:cs="Arial"/>
          <w:sz w:val="24"/>
          <w:szCs w:val="24"/>
        </w:rPr>
        <w:t xml:space="preserve"> – відсутні;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відповідність пропозицій щодо дозволених обсягів викидів законодавству</w:t>
      </w:r>
      <w:r w:rsidRPr="007B28A6">
        <w:rPr>
          <w:rFonts w:ascii="Arial" w:hAnsi="Arial" w:cs="Arial"/>
          <w:sz w:val="24"/>
          <w:szCs w:val="24"/>
        </w:rPr>
        <w:t xml:space="preserve"> – пропозиції щодо дозволених обсягів викидів відповідають чинному законодавству, відповідно до результатів розрахунку розсіювання, на межі нормативної санітарно-захисної зони приземні концентрації по усіх забруднюючих речовинах не перевищують ГКД (ОБРВ) атмосферного повітря та відповідають вимогам Наказу № 309 від 27.06.2006 р.;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адреса обласної держадміністрації, до якої можуть надсилатися зауваження та пропозиції громадськості щодо дозволу на викиди</w:t>
      </w:r>
      <w:r w:rsidRPr="007B28A6">
        <w:rPr>
          <w:rFonts w:ascii="Arial" w:hAnsi="Arial" w:cs="Arial"/>
          <w:sz w:val="24"/>
          <w:szCs w:val="24"/>
        </w:rPr>
        <w:t xml:space="preserve"> – Львівська обласна військова (державна) адміністрація, Департамент екології та природних ресурсів ЛОДА: 79026 м. Львів, вул. </w:t>
      </w:r>
      <w:proofErr w:type="spellStart"/>
      <w:r w:rsidRPr="007B28A6">
        <w:rPr>
          <w:rFonts w:ascii="Arial" w:hAnsi="Arial" w:cs="Arial"/>
          <w:sz w:val="24"/>
          <w:szCs w:val="24"/>
        </w:rPr>
        <w:t>Стрийська</w:t>
      </w:r>
      <w:proofErr w:type="spellEnd"/>
      <w:r w:rsidRPr="007B28A6">
        <w:rPr>
          <w:rFonts w:ascii="Arial" w:hAnsi="Arial" w:cs="Arial"/>
          <w:sz w:val="24"/>
          <w:szCs w:val="24"/>
        </w:rPr>
        <w:t xml:space="preserve">, 98, </w:t>
      </w:r>
      <w:proofErr w:type="spellStart"/>
      <w:r w:rsidRPr="007B28A6">
        <w:rPr>
          <w:rFonts w:ascii="Arial" w:hAnsi="Arial" w:cs="Arial"/>
          <w:sz w:val="24"/>
          <w:szCs w:val="24"/>
        </w:rPr>
        <w:t>тел</w:t>
      </w:r>
      <w:proofErr w:type="spellEnd"/>
      <w:r w:rsidRPr="007B28A6">
        <w:rPr>
          <w:rFonts w:ascii="Arial" w:hAnsi="Arial" w:cs="Arial"/>
          <w:sz w:val="24"/>
          <w:szCs w:val="24"/>
        </w:rPr>
        <w:t>. (032) 238-73-83;</w:t>
      </w:r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B28A6">
        <w:rPr>
          <w:rFonts w:ascii="Arial" w:hAnsi="Arial" w:cs="Arial"/>
          <w:i/>
          <w:sz w:val="24"/>
          <w:szCs w:val="24"/>
        </w:rPr>
        <w:t>строки подання зауважень та пропозицій</w:t>
      </w:r>
      <w:r w:rsidRPr="007B28A6">
        <w:rPr>
          <w:rFonts w:ascii="Arial" w:hAnsi="Arial" w:cs="Arial"/>
          <w:sz w:val="24"/>
          <w:szCs w:val="24"/>
        </w:rPr>
        <w:t xml:space="preserve"> – протягом 30 календарних днів з дати публікації даного повідомлення.</w:t>
      </w:r>
      <w:bookmarkEnd w:id="0"/>
    </w:p>
    <w:p w:rsidR="0047291A" w:rsidRPr="007B28A6" w:rsidRDefault="0047291A" w:rsidP="0047291A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3C3F70" w:rsidRPr="007B28A6" w:rsidRDefault="003C3F70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3C3F70" w:rsidRPr="007B28A6" w:rsidSect="001D1D4D">
      <w:pgSz w:w="11906" w:h="16838"/>
      <w:pgMar w:top="454" w:right="454" w:bottom="45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E1"/>
    <w:rsid w:val="003C3F70"/>
    <w:rsid w:val="0047291A"/>
    <w:rsid w:val="007B28A6"/>
    <w:rsid w:val="00C4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F9B6D-DC21-41DF-BFFF-B3C86E55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29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2059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hyperlink" Target="https://zakon.rada.gov.ua/laws/show/2059-19" TargetMode="External"/><Relationship Id="rId4" Type="http://schemas.openxmlformats.org/officeDocument/2006/relationships/hyperlink" Target="https://zakon.rada.gov.ua/laws/show/2059-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4375</Words>
  <Characters>2494</Characters>
  <Application>Microsoft Office Word</Application>
  <DocSecurity>0</DocSecurity>
  <Lines>20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2024-09-17T08:10:00Z</dcterms:created>
  <dcterms:modified xsi:type="dcterms:W3CDTF">2024-09-17T08:14:00Z</dcterms:modified>
</cp:coreProperties>
</file>