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5C" w:rsidRPr="00A77080" w:rsidRDefault="00E3275C" w:rsidP="00E327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E3275C" w:rsidRPr="00A77080" w:rsidRDefault="00E3275C" w:rsidP="00E327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E3275C" w:rsidRDefault="00E3275C" w:rsidP="00E3275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E3275C" w:rsidRPr="00471F0C" w:rsidRDefault="00E3275C" w:rsidP="00E3275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tbl>
      <w:tblPr>
        <w:tblW w:w="8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E3275C" w:rsidRPr="00376E81" w:rsidTr="00683CC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3275C" w:rsidRPr="00E3275C" w:rsidRDefault="00E3275C" w:rsidP="00E327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275C" w:rsidRPr="00376E81" w:rsidRDefault="00E3275C" w:rsidP="00E327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5C">
              <w:rPr>
                <w:rFonts w:ascii="Times New Roman" w:hAnsi="Times New Roman" w:cs="Times New Roman"/>
              </w:rPr>
              <w:t xml:space="preserve">    Управління  адміністрування послуг департаменту гуманітарної політики Львівської міської ради</w:t>
            </w:r>
          </w:p>
        </w:tc>
      </w:tr>
      <w:tr w:rsidR="00E3275C" w:rsidRPr="00376E81" w:rsidTr="00683CC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E3275C" w:rsidRPr="00376E81" w:rsidRDefault="00E3275C" w:rsidP="00683C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ЄДРПОУ:</w:t>
            </w:r>
            <w:r>
              <w:rPr>
                <w:rFonts w:ascii="Times New Roman" w:hAnsi="Times New Roman" w:cs="Times New Roman"/>
              </w:rPr>
              <w:t>41041750</w:t>
            </w:r>
          </w:p>
        </w:tc>
      </w:tr>
    </w:tbl>
    <w:p w:rsidR="00E3275C" w:rsidRPr="00A77080" w:rsidRDefault="00E3275C" w:rsidP="00E3275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E3275C" w:rsidRPr="00A77080" w:rsidRDefault="00E3275C" w:rsidP="00E327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>- «Послуги з теплопостачання» (ДК 021:2015: 09320000-8 Пара, гаряча вода та пов'язана продукція)</w:t>
      </w:r>
    </w:p>
    <w:p w:rsidR="00E3275C" w:rsidRPr="00A77080" w:rsidRDefault="00E3275C" w:rsidP="00E3275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закупівлі:</w:t>
      </w:r>
    </w:p>
    <w:p w:rsidR="00E3275C" w:rsidRDefault="00E3275C" w:rsidP="00E3275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 та інших нормативно – правових актів у відповідній сфері.</w:t>
      </w:r>
    </w:p>
    <w:p w:rsidR="00E3275C" w:rsidRDefault="00E3275C" w:rsidP="00E3275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E3275C" w:rsidRDefault="00E3275C" w:rsidP="00E32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E3275C" w:rsidRDefault="00E3275C" w:rsidP="00E3275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E3275C" w:rsidRDefault="00E3275C" w:rsidP="00E3275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 w:rsidR="00D05737">
        <w:rPr>
          <w:rFonts w:ascii="Times New Roman" w:eastAsia="Times New Roman" w:hAnsi="Times New Roman"/>
          <w:spacing w:val="-1"/>
          <w:lang w:eastAsia="ru-RU"/>
        </w:rPr>
        <w:t xml:space="preserve"> станом на 18.02.</w:t>
      </w:r>
      <w:r>
        <w:rPr>
          <w:rFonts w:ascii="Times New Roman" w:eastAsia="Times New Roman" w:hAnsi="Times New Roman"/>
          <w:spacing w:val="-1"/>
          <w:lang w:eastAsia="ru-RU"/>
        </w:rPr>
        <w:t xml:space="preserve">2025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E3275C" w:rsidRPr="00252F3D" w:rsidRDefault="00E3275C" w:rsidP="00E3275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E3275C" w:rsidRDefault="00E3275C" w:rsidP="00E3275C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E3275C" w:rsidRDefault="00E3275C" w:rsidP="00E3275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E3275C" w:rsidRDefault="00E3275C" w:rsidP="00E327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Очікувана вартість закупівлі становить </w:t>
      </w:r>
      <w:r>
        <w:rPr>
          <w:rFonts w:ascii="Times New Roman" w:hAnsi="Times New Roman" w:cs="Times New Roman"/>
        </w:rPr>
        <w:t>–</w:t>
      </w:r>
      <w:r w:rsidRPr="00C075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349</w:t>
      </w:r>
      <w:r w:rsidR="00CC70E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000</w:t>
      </w:r>
      <w:r w:rsidR="00CC70EA">
        <w:rPr>
          <w:rFonts w:ascii="Times New Roman" w:hAnsi="Times New Roman" w:cs="Times New Roman"/>
        </w:rPr>
        <w:t>,00 грн</w:t>
      </w:r>
      <w:r>
        <w:rPr>
          <w:rFonts w:ascii="Times New Roman" w:hAnsi="Times New Roman" w:cs="Times New Roman"/>
        </w:rPr>
        <w:t xml:space="preserve"> </w:t>
      </w:r>
      <w:r w:rsidRPr="006A2D19">
        <w:rPr>
          <w:rFonts w:ascii="Times New Roman" w:hAnsi="Times New Roman" w:cs="Times New Roman"/>
        </w:rPr>
        <w:t>з ПДВ</w:t>
      </w:r>
    </w:p>
    <w:p w:rsidR="00E3275C" w:rsidRPr="00471F0C" w:rsidRDefault="00E3275C" w:rsidP="00E3275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E3275C" w:rsidRPr="00471F0C" w:rsidRDefault="00E3275C" w:rsidP="00E3275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</w:t>
      </w:r>
      <w:r w:rsidR="001007A2">
        <w:rPr>
          <w:rFonts w:ascii="Times New Roman" w:hAnsi="Times New Roman" w:cs="Times New Roman"/>
        </w:rPr>
        <w:t>ічних лімітів споживання на 2025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«Про схвалення лімітів</w:t>
      </w:r>
      <w:r w:rsidR="001007A2">
        <w:rPr>
          <w:rFonts w:ascii="Times New Roman" w:hAnsi="Times New Roman" w:cs="Times New Roman"/>
        </w:rPr>
        <w:t xml:space="preserve"> споживання енергоносіїв на 2025</w:t>
      </w:r>
      <w:r w:rsidRPr="00471F0C">
        <w:rPr>
          <w:rFonts w:ascii="Times New Roman" w:hAnsi="Times New Roman" w:cs="Times New Roman"/>
        </w:rPr>
        <w:t xml:space="preserve"> рік для бюджетних установ, які фінансуються з бюджету Львівської міської територіальної громади»</w:t>
      </w:r>
      <w:bookmarkStart w:id="0" w:name="_GoBack"/>
      <w:bookmarkEnd w:id="0"/>
      <w:r w:rsidRPr="00471F0C">
        <w:rPr>
          <w:rFonts w:ascii="Times New Roman" w:hAnsi="Times New Roman" w:cs="Times New Roman"/>
        </w:rPr>
        <w:t xml:space="preserve">, та діючі тарифи на опалення та функціонування системи опалення, згідно рішення виконавчого комітету Львівської міської ради № 1233 від 14.11.2023 «Про встановлення </w:t>
      </w:r>
      <w:r w:rsidRPr="00471F0C">
        <w:rPr>
          <w:rFonts w:ascii="Times New Roman" w:hAnsi="Times New Roman" w:cs="Times New Roman"/>
        </w:rPr>
        <w:lastRenderedPageBreak/>
        <w:t>ЛМКП “</w:t>
      </w:r>
      <w:proofErr w:type="spellStart"/>
      <w:r w:rsidRPr="00471F0C">
        <w:rPr>
          <w:rFonts w:ascii="Times New Roman" w:hAnsi="Times New Roman" w:cs="Times New Roman"/>
        </w:rPr>
        <w:t>Львівтеплоенерго</w:t>
      </w:r>
      <w:proofErr w:type="spellEnd"/>
      <w:r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води» (https://www8.city-adm.lviv.ua/Pool/Info/doclmr_1.NSF/8430181f66a9286cc22586ae005cdd80/f3633196f6a8e783c2258a68004cf0e0?OpenDocument</w:t>
      </w:r>
      <w:hyperlink r:id="rId4" w:history="1"/>
      <w:r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2024 рік.</w:t>
      </w:r>
    </w:p>
    <w:p w:rsidR="00E3275C" w:rsidRDefault="00E3275C" w:rsidP="00E327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275C" w:rsidRPr="00DC37C9" w:rsidRDefault="00E3275C" w:rsidP="00E3275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3275C" w:rsidRDefault="00E3275C" w:rsidP="00E3275C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Уповноважена особа                                                                                               Юлія ХАХУЛА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E3275C" w:rsidRDefault="00E3275C" w:rsidP="00E3275C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</w:t>
      </w:r>
    </w:p>
    <w:p w:rsidR="00E3275C" w:rsidRPr="00BC4564" w:rsidRDefault="00E3275C" w:rsidP="00E3275C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E3275C" w:rsidRPr="00CA42A4" w:rsidRDefault="00E3275C" w:rsidP="00E3275C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p w:rsidR="00356F79" w:rsidRDefault="001007A2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EB"/>
    <w:rsid w:val="001007A2"/>
    <w:rsid w:val="00865FA8"/>
    <w:rsid w:val="00CC70EA"/>
    <w:rsid w:val="00D05737"/>
    <w:rsid w:val="00D20CEB"/>
    <w:rsid w:val="00E3275C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2466"/>
  <w15:chartTrackingRefBased/>
  <w15:docId w15:val="{1ADD06E1-DE3C-40C6-A593-C749DA6C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3443</Words>
  <Characters>1963</Characters>
  <Application>Microsoft Office Word</Application>
  <DocSecurity>0</DocSecurity>
  <Lines>16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5</cp:revision>
  <dcterms:created xsi:type="dcterms:W3CDTF">2025-02-18T09:11:00Z</dcterms:created>
  <dcterms:modified xsi:type="dcterms:W3CDTF">2025-02-18T09:16:00Z</dcterms:modified>
</cp:coreProperties>
</file>