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B33B2A" w:rsidRDefault="006C25D7" w:rsidP="006C25D7">
      <w:pPr>
        <w:rPr>
          <w:rFonts w:ascii="Arial" w:hAnsi="Arial" w:cs="Arial"/>
          <w:color w:val="0E1D2F"/>
          <w:shd w:val="clear" w:color="auto" w:fill="FFFFFF"/>
        </w:rPr>
      </w:pPr>
    </w:p>
    <w:p w:rsidR="006C25D7" w:rsidRPr="00B33B2A" w:rsidRDefault="006C25D7" w:rsidP="006C25D7">
      <w:pPr>
        <w:jc w:val="center"/>
        <w:rPr>
          <w:rFonts w:ascii="Arial" w:hAnsi="Arial" w:cs="Arial"/>
          <w:b/>
          <w:bCs/>
          <w:color w:val="242424"/>
        </w:rPr>
      </w:pPr>
      <w:r w:rsidRPr="00B33B2A">
        <w:rPr>
          <w:rFonts w:ascii="Arial" w:hAnsi="Arial" w:cs="Arial"/>
          <w:b/>
          <w:bCs/>
          <w:i/>
          <w:iCs/>
          <w:color w:val="242424"/>
        </w:rPr>
        <w:t xml:space="preserve">Обґрунтування </w:t>
      </w:r>
    </w:p>
    <w:p w:rsidR="006C25D7" w:rsidRPr="00B33B2A" w:rsidRDefault="006C25D7" w:rsidP="006C25D7">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6C25D7" w:rsidRPr="00A66233" w:rsidRDefault="006C25D7" w:rsidP="00A66233">
      <w:pPr>
        <w:rPr>
          <w:rFonts w:ascii="Arial" w:hAnsi="Arial" w:cs="Arial"/>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Pr>
          <w:rFonts w:ascii="Arial" w:hAnsi="Arial" w:cs="Arial"/>
        </w:rPr>
        <w:t>Офіс</w:t>
      </w:r>
      <w:r w:rsidR="00A66233" w:rsidRPr="00A66233">
        <w:rPr>
          <w:rFonts w:ascii="Arial" w:hAnsi="Arial" w:cs="Arial"/>
        </w:rPr>
        <w:t xml:space="preserve"> агломерації</w:t>
      </w:r>
      <w:r w:rsidR="00A66233">
        <w:rPr>
          <w:rFonts w:ascii="Arial" w:hAnsi="Arial" w:cs="Arial"/>
        </w:rPr>
        <w:t xml:space="preserve"> </w:t>
      </w:r>
      <w:r w:rsidR="00A66233" w:rsidRPr="00A66233">
        <w:rPr>
          <w:rFonts w:ascii="Arial" w:hAnsi="Arial" w:cs="Arial"/>
        </w:rPr>
        <w:t>та розвитку громад ЛМР</w:t>
      </w:r>
      <w:r w:rsidR="00A66233" w:rsidRPr="006C25D7">
        <w:rPr>
          <w:rFonts w:ascii="Arial" w:hAnsi="Arial" w:cs="Arial"/>
        </w:rPr>
        <w:t xml:space="preserve"> Львівської міської ради</w:t>
      </w:r>
      <w:r w:rsidR="00A66233" w:rsidRPr="00B33B2A">
        <w:rPr>
          <w:rFonts w:ascii="Arial" w:hAnsi="Arial" w:cs="Arial"/>
          <w:iCs/>
          <w:color w:val="242424"/>
        </w:rPr>
        <w:t xml:space="preserve">; </w:t>
      </w:r>
      <w:proofErr w:type="spellStart"/>
      <w:r w:rsidR="00A66233" w:rsidRPr="00B33B2A">
        <w:rPr>
          <w:rFonts w:ascii="Arial" w:hAnsi="Arial" w:cs="Arial"/>
          <w:iCs/>
          <w:color w:val="242424"/>
        </w:rPr>
        <w:t>пл</w:t>
      </w:r>
      <w:proofErr w:type="spellEnd"/>
      <w:r w:rsidR="00A66233" w:rsidRPr="00B33B2A">
        <w:rPr>
          <w:rFonts w:ascii="Arial" w:hAnsi="Arial" w:cs="Arial"/>
          <w:iCs/>
          <w:color w:val="242424"/>
        </w:rPr>
        <w:t>. Ринок, 1, м. Львів, 79006; код за</w:t>
      </w:r>
      <w:r w:rsidR="00A66233" w:rsidRPr="00A66233">
        <w:rPr>
          <w:rFonts w:ascii="Arial" w:hAnsi="Arial" w:cs="Arial"/>
        </w:rPr>
        <w:t xml:space="preserve">  </w:t>
      </w:r>
      <w:r w:rsidRPr="00B33B2A">
        <w:rPr>
          <w:rFonts w:ascii="Arial" w:hAnsi="Arial" w:cs="Arial"/>
          <w:iCs/>
          <w:color w:val="242424"/>
        </w:rPr>
        <w:t>ЄДРПОУ —43582049 . </w:t>
      </w:r>
    </w:p>
    <w:p w:rsidR="00565ABE" w:rsidRDefault="006C25D7" w:rsidP="00565ABE">
      <w:pPr>
        <w:rPr>
          <w:rFonts w:ascii="Arial" w:hAnsi="Arial" w:cs="Arial"/>
          <w:b/>
          <w:color w:val="333333"/>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565ABE" w:rsidRPr="00565ABE">
        <w:rPr>
          <w:rFonts w:ascii="Arial" w:hAnsi="Arial" w:cs="Arial"/>
          <w:b/>
          <w:bCs/>
          <w:iCs/>
          <w:color w:val="242424"/>
        </w:rPr>
        <w:t>Обслуговування розробленого програмного забезпечення</w:t>
      </w:r>
      <w:r w:rsidR="00565ABE">
        <w:rPr>
          <w:rFonts w:ascii="Arial" w:hAnsi="Arial" w:cs="Arial"/>
          <w:b/>
          <w:bCs/>
          <w:iCs/>
          <w:color w:val="242424"/>
        </w:rPr>
        <w:t xml:space="preserve"> </w:t>
      </w:r>
      <w:r w:rsidRPr="00225144">
        <w:rPr>
          <w:rFonts w:ascii="Arial" w:hAnsi="Arial" w:cs="Arial"/>
          <w:b/>
          <w:bCs/>
          <w:iCs/>
          <w:color w:val="242424"/>
        </w:rPr>
        <w:t>Код ДК 021:2015:</w:t>
      </w:r>
      <w:r w:rsidRPr="00B33B2A">
        <w:rPr>
          <w:rFonts w:ascii="Arial" w:hAnsi="Arial" w:cs="Arial"/>
          <w:bCs/>
          <w:i/>
          <w:iCs/>
          <w:color w:val="242424"/>
        </w:rPr>
        <w:t> </w:t>
      </w:r>
      <w:r w:rsidR="00565ABE" w:rsidRPr="00565ABE">
        <w:rPr>
          <w:rFonts w:ascii="Arial" w:hAnsi="Arial" w:cs="Arial"/>
          <w:b/>
          <w:color w:val="333333"/>
        </w:rPr>
        <w:t>72320000-4 - Послуги, пов’язані з базами даних</w:t>
      </w:r>
    </w:p>
    <w:p w:rsidR="006C25D7" w:rsidRDefault="006C25D7" w:rsidP="00565ABE">
      <w:pPr>
        <w:rPr>
          <w:rFonts w:ascii="Arial" w:hAnsi="Arial" w:cs="Arial"/>
          <w:b/>
          <w:bCs/>
          <w:color w:val="555555"/>
          <w:sz w:val="20"/>
          <w:szCs w:val="20"/>
          <w:shd w:val="clear" w:color="auto" w:fill="F3F7FA"/>
        </w:rPr>
      </w:pPr>
      <w:r w:rsidRPr="00B33B2A">
        <w:rPr>
          <w:rFonts w:ascii="Arial" w:hAnsi="Arial" w:cs="Arial"/>
          <w:b/>
          <w:bCs/>
          <w:i/>
          <w:iCs/>
          <w:color w:val="242424"/>
        </w:rPr>
        <w:t> 3.  Вид та ідентифікатор процедури  закупівлі:</w:t>
      </w:r>
      <w:r w:rsidR="00A66233" w:rsidRPr="00A66233">
        <w:t xml:space="preserve"> </w:t>
      </w:r>
      <w:r w:rsidR="00A66233" w:rsidRPr="00A66233">
        <w:rPr>
          <w:rFonts w:ascii="Arial" w:hAnsi="Arial" w:cs="Arial"/>
          <w:b/>
          <w:bCs/>
          <w:i/>
          <w:iCs/>
          <w:color w:val="242424"/>
        </w:rPr>
        <w:t>Закупівля без використання електронної системи</w:t>
      </w:r>
      <w:r w:rsidRPr="00B33B2A">
        <w:rPr>
          <w:rFonts w:ascii="Arial" w:hAnsi="Arial" w:cs="Arial"/>
          <w:b/>
          <w:bCs/>
          <w:i/>
          <w:iCs/>
          <w:color w:val="242424"/>
        </w:rPr>
        <w:t xml:space="preserve"> </w:t>
      </w:r>
      <w:r w:rsidR="00A66233">
        <w:rPr>
          <w:rFonts w:ascii="Arial" w:hAnsi="Arial" w:cs="Arial"/>
          <w:b/>
          <w:bCs/>
          <w:i/>
          <w:iCs/>
          <w:color w:val="242424"/>
        </w:rPr>
        <w:t xml:space="preserve">відповідно </w:t>
      </w:r>
      <w:r w:rsidR="00A66233" w:rsidRPr="00A66233">
        <w:rPr>
          <w:rFonts w:ascii="Arial" w:hAnsi="Arial" w:cs="Arial"/>
          <w:bCs/>
          <w:iCs/>
          <w:color w:val="242424"/>
        </w:rPr>
        <w:t>до абзацу 4 підпункту 5  пункту 13</w:t>
      </w:r>
      <w:r w:rsidR="00B64E6A">
        <w:rPr>
          <w:rFonts w:ascii="Arial" w:hAnsi="Arial" w:cs="Arial"/>
          <w:bCs/>
          <w:iCs/>
          <w:color w:val="242424"/>
        </w:rPr>
        <w:t xml:space="preserve"> Постанови 1178</w:t>
      </w:r>
      <w:r w:rsidR="00B64E6A" w:rsidRPr="00B64E6A">
        <w:rPr>
          <w:rFonts w:ascii="Times New Roman" w:eastAsia="Times New Roman" w:hAnsi="Times New Roman"/>
          <w:sz w:val="24"/>
          <w:szCs w:val="24"/>
          <w:lang w:eastAsia="ru-RU"/>
        </w:rPr>
        <w:t xml:space="preserve"> “Про затвердження особливостей здійснення публічних </w:t>
      </w:r>
      <w:proofErr w:type="spellStart"/>
      <w:r w:rsidR="00B64E6A" w:rsidRPr="00B64E6A">
        <w:rPr>
          <w:rFonts w:ascii="Times New Roman" w:eastAsia="Times New Roman" w:hAnsi="Times New Roman"/>
          <w:sz w:val="24"/>
          <w:szCs w:val="24"/>
          <w:lang w:eastAsia="ru-RU"/>
        </w:rPr>
        <w:t>закупівель</w:t>
      </w:r>
      <w:proofErr w:type="spellEnd"/>
      <w:r w:rsidR="00B64E6A" w:rsidRPr="00B64E6A">
        <w:rPr>
          <w:rFonts w:ascii="Times New Roman" w:eastAsia="Times New Roman" w:hAnsi="Times New Roman"/>
          <w:sz w:val="24"/>
          <w:szCs w:val="24"/>
          <w:lang w:eastAsia="ru-RU"/>
        </w:rPr>
        <w:t xml:space="preserve"> товарів, робіт і послуг для замовників, передбачених Законом України “Про публічні закупівлі”</w:t>
      </w:r>
      <w:r w:rsidR="00B64E6A">
        <w:rPr>
          <w:rFonts w:ascii="Times New Roman" w:eastAsia="Times New Roman" w:hAnsi="Times New Roman"/>
          <w:sz w:val="24"/>
          <w:szCs w:val="24"/>
          <w:lang w:eastAsia="ru-RU"/>
        </w:rPr>
        <w:t xml:space="preserve"> (</w:t>
      </w:r>
      <w:r w:rsidR="00B64E6A" w:rsidRPr="0078755D">
        <w:rPr>
          <w:rFonts w:ascii="Times New Roman" w:eastAsia="Times New Roman" w:hAnsi="Times New Roman"/>
          <w:sz w:val="24"/>
          <w:szCs w:val="24"/>
          <w:lang w:eastAsia="ru-RU"/>
        </w:rPr>
        <w:t>Особливостей</w:t>
      </w:r>
      <w:r w:rsidR="00B64E6A">
        <w:rPr>
          <w:rFonts w:ascii="Times New Roman" w:eastAsia="Times New Roman" w:hAnsi="Times New Roman"/>
          <w:sz w:val="24"/>
          <w:szCs w:val="24"/>
          <w:lang w:eastAsia="ru-RU"/>
        </w:rPr>
        <w:t>)</w:t>
      </w:r>
      <w:r w:rsidR="00B64E6A">
        <w:rPr>
          <w:rFonts w:ascii="Arial" w:hAnsi="Arial" w:cs="Arial"/>
          <w:bCs/>
          <w:iCs/>
          <w:color w:val="242424"/>
        </w:rPr>
        <w:t xml:space="preserve"> </w:t>
      </w:r>
      <w:r w:rsidR="00565ABE">
        <w:rPr>
          <w:rFonts w:ascii="Arial" w:hAnsi="Arial" w:cs="Arial"/>
          <w:bCs/>
          <w:iCs/>
          <w:color w:val="242424"/>
        </w:rPr>
        <w:t xml:space="preserve">, </w:t>
      </w:r>
      <w:r w:rsidR="00565ABE">
        <w:rPr>
          <w:rFonts w:ascii="Arial" w:hAnsi="Arial" w:cs="Arial"/>
          <w:b/>
          <w:bCs/>
          <w:color w:val="555555"/>
          <w:sz w:val="20"/>
          <w:szCs w:val="20"/>
          <w:shd w:val="clear" w:color="auto" w:fill="F3F7FA"/>
        </w:rPr>
        <w:t>UA-2025-03-12-005970-a</w:t>
      </w:r>
      <w:r w:rsidR="00C7746C">
        <w:rPr>
          <w:rFonts w:ascii="Arial" w:hAnsi="Arial" w:cs="Arial"/>
          <w:b/>
          <w:bCs/>
          <w:color w:val="555555"/>
          <w:sz w:val="20"/>
          <w:szCs w:val="20"/>
          <w:shd w:val="clear" w:color="auto" w:fill="F3F7FA"/>
        </w:rPr>
        <w:t xml:space="preserve"> </w:t>
      </w:r>
      <w:bookmarkStart w:id="0" w:name="_GoBack"/>
      <w:bookmarkEnd w:id="0"/>
      <w:r w:rsidR="00A66233">
        <w:rPr>
          <w:rFonts w:ascii="Arial" w:hAnsi="Arial" w:cs="Arial"/>
          <w:bCs/>
          <w:iCs/>
          <w:color w:val="242424"/>
        </w:rPr>
        <w:t>.</w:t>
      </w:r>
    </w:p>
    <w:p w:rsidR="006C25D7" w:rsidRDefault="006C25D7" w:rsidP="006C25D7">
      <w:r w:rsidRPr="00B33B2A">
        <w:rPr>
          <w:rFonts w:ascii="Arial" w:hAnsi="Arial" w:cs="Arial"/>
          <w:b/>
          <w:bCs/>
          <w:i/>
          <w:iCs/>
          <w:color w:val="242424"/>
        </w:rPr>
        <w:t xml:space="preserve">4. </w:t>
      </w:r>
      <w:r w:rsidRPr="00A66233">
        <w:rPr>
          <w:rFonts w:ascii="Arial" w:hAnsi="Arial" w:cs="Arial"/>
          <w:b/>
          <w:bCs/>
          <w:i/>
          <w:iCs/>
          <w:color w:val="242424"/>
          <w:u w:val="single"/>
        </w:rPr>
        <w:t>Обґрунтування технічних та якісних характеристик предмета закупівлі</w:t>
      </w:r>
      <w:r w:rsidRPr="00B33B2A">
        <w:rPr>
          <w:rFonts w:ascii="Arial" w:hAnsi="Arial" w:cs="Arial"/>
          <w:b/>
          <w:bCs/>
          <w:i/>
          <w:iCs/>
          <w:color w:val="242424"/>
        </w:rPr>
        <w:t>:</w:t>
      </w:r>
      <w:r w:rsidRPr="00B33B2A">
        <w:rPr>
          <w:rFonts w:ascii="Arial" w:hAnsi="Arial" w:cs="Arial"/>
          <w:i/>
          <w:iCs/>
          <w:color w:val="242424"/>
        </w:rPr>
        <w:t> </w:t>
      </w:r>
      <w:r w:rsidR="00EF3F6F">
        <w:t xml:space="preserve"> </w:t>
      </w:r>
    </w:p>
    <w:p w:rsidR="00EF3F6F" w:rsidRPr="00322BC8" w:rsidRDefault="00EF3F6F" w:rsidP="00EF3F6F">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color w:val="000000" w:themeColor="text1"/>
          <w:lang w:eastAsia="ru-RU"/>
        </w:rPr>
      </w:pPr>
    </w:p>
    <w:p w:rsidR="00565ABE" w:rsidRPr="00FB18C3" w:rsidRDefault="00565ABE" w:rsidP="00565ABE">
      <w:pPr>
        <w:spacing w:after="0" w:line="240" w:lineRule="auto"/>
        <w:ind w:left="-426"/>
        <w:jc w:val="both"/>
        <w:textAlignment w:val="baseline"/>
        <w:rPr>
          <w:rFonts w:ascii="Times New Roman" w:eastAsia="Times New Roman" w:hAnsi="Times New Roman"/>
          <w:sz w:val="24"/>
          <w:szCs w:val="24"/>
          <w:lang w:eastAsia="uk-UA"/>
        </w:rPr>
      </w:pPr>
      <w:r w:rsidRPr="00FB18C3">
        <w:rPr>
          <w:rFonts w:ascii="Times New Roman" w:eastAsia="Times New Roman" w:hAnsi="Times New Roman"/>
          <w:sz w:val="24"/>
          <w:szCs w:val="24"/>
          <w:lang w:eastAsia="uk-UA"/>
        </w:rPr>
        <w:t>З метою забезпечення необхідних  технічних умов для здійснення реєстрації/зняття з реєстрації місця проживання мешканців Львівської міської територіальної громади, покращення надання послуг для мешканців Львівської міської територіальної громади, забезпечення якісної комунікації із застосуванням сучасних інструментів та техн</w:t>
      </w:r>
      <w:r>
        <w:rPr>
          <w:rFonts w:ascii="Times New Roman" w:eastAsia="Times New Roman" w:hAnsi="Times New Roman"/>
          <w:sz w:val="24"/>
          <w:szCs w:val="24"/>
          <w:lang w:eastAsia="uk-UA"/>
        </w:rPr>
        <w:t>ологій електронного урядування рішенням</w:t>
      </w:r>
      <w:r w:rsidRPr="00FB18C3">
        <w:rPr>
          <w:rFonts w:ascii="Times New Roman" w:eastAsia="Times New Roman" w:hAnsi="Times New Roman"/>
          <w:sz w:val="24"/>
          <w:szCs w:val="24"/>
          <w:lang w:eastAsia="uk-UA"/>
        </w:rPr>
        <w:t xml:space="preserve"> виконавчого комітету</w:t>
      </w:r>
      <w:r>
        <w:rPr>
          <w:rFonts w:ascii="Times New Roman" w:eastAsia="Times New Roman" w:hAnsi="Times New Roman"/>
          <w:sz w:val="24"/>
          <w:szCs w:val="24"/>
          <w:lang w:eastAsia="uk-UA"/>
        </w:rPr>
        <w:t xml:space="preserve"> </w:t>
      </w:r>
      <w:r w:rsidRPr="00FB18C3">
        <w:rPr>
          <w:rFonts w:ascii="Times New Roman" w:hAnsi="Times New Roman"/>
          <w:color w:val="000000"/>
          <w:sz w:val="24"/>
          <w:szCs w:val="24"/>
          <w:shd w:val="clear" w:color="auto" w:fill="FFFFFF"/>
        </w:rPr>
        <w:t xml:space="preserve"> від  </w:t>
      </w:r>
      <w:r>
        <w:rPr>
          <w:rFonts w:ascii="Times New Roman" w:hAnsi="Times New Roman"/>
          <w:color w:val="000000"/>
          <w:sz w:val="24"/>
          <w:szCs w:val="24"/>
          <w:shd w:val="clear" w:color="auto" w:fill="FFFFFF"/>
        </w:rPr>
        <w:t>08.11.2022 №</w:t>
      </w:r>
      <w:r w:rsidRPr="00FB18C3">
        <w:rPr>
          <w:rFonts w:ascii="Times New Roman" w:hAnsi="Times New Roman"/>
          <w:color w:val="000000"/>
          <w:sz w:val="24"/>
          <w:szCs w:val="24"/>
          <w:shd w:val="clear" w:color="auto" w:fill="FFFFFF"/>
        </w:rPr>
        <w:t>1043</w:t>
      </w:r>
      <w:r>
        <w:rPr>
          <w:rFonts w:ascii="Times New Roman" w:hAnsi="Times New Roman"/>
          <w:color w:val="000000"/>
          <w:sz w:val="24"/>
          <w:szCs w:val="24"/>
          <w:shd w:val="clear" w:color="auto" w:fill="FFFFFF"/>
        </w:rPr>
        <w:t xml:space="preserve"> </w:t>
      </w:r>
      <w:r w:rsidRPr="00FB18C3">
        <w:rPr>
          <w:rFonts w:ascii="Times New Roman" w:eastAsia="Times New Roman" w:hAnsi="Times New Roman"/>
          <w:sz w:val="24"/>
          <w:szCs w:val="24"/>
          <w:lang w:eastAsia="uk-UA"/>
        </w:rPr>
        <w:t xml:space="preserve"> «</w:t>
      </w:r>
      <w:r w:rsidRPr="00FB18C3">
        <w:rPr>
          <w:rFonts w:ascii="Times New Roman" w:hAnsi="Times New Roman"/>
          <w:color w:val="000000"/>
          <w:sz w:val="24"/>
          <w:szCs w:val="24"/>
          <w:shd w:val="clear" w:color="auto" w:fill="FFFFFF"/>
        </w:rPr>
        <w:t>Про Реєстр Львівської міської територіальної громади</w:t>
      </w:r>
      <w:r>
        <w:rPr>
          <w:rFonts w:ascii="Times New Roman" w:hAnsi="Times New Roman"/>
          <w:color w:val="000000"/>
          <w:sz w:val="24"/>
          <w:szCs w:val="24"/>
          <w:shd w:val="clear" w:color="auto" w:fill="FFFFFF"/>
        </w:rPr>
        <w:t xml:space="preserve">» </w:t>
      </w:r>
      <w:r w:rsidRPr="00FB18C3">
        <w:rPr>
          <w:rFonts w:ascii="Times New Roman" w:eastAsia="Times New Roman" w:hAnsi="Times New Roman"/>
          <w:sz w:val="24"/>
          <w:szCs w:val="24"/>
          <w:lang w:eastAsia="uk-UA"/>
        </w:rPr>
        <w:t xml:space="preserve">в Львівській міській раді впроваджено «Реєстр Львівської міської територіальної громади», який включає </w:t>
      </w:r>
      <w:r w:rsidRPr="00FB18C3">
        <w:rPr>
          <w:rFonts w:ascii="Times New Roman" w:hAnsi="Times New Roman"/>
          <w:color w:val="000000"/>
          <w:sz w:val="24"/>
          <w:szCs w:val="24"/>
          <w:shd w:val="clear" w:color="auto" w:fill="FFFFFF"/>
        </w:rPr>
        <w:t xml:space="preserve">м. Львів, м. Винники, м. </w:t>
      </w:r>
      <w:proofErr w:type="spellStart"/>
      <w:r w:rsidRPr="00FB18C3">
        <w:rPr>
          <w:rFonts w:ascii="Times New Roman" w:hAnsi="Times New Roman"/>
          <w:color w:val="000000"/>
          <w:sz w:val="24"/>
          <w:szCs w:val="24"/>
          <w:shd w:val="clear" w:color="auto" w:fill="FFFFFF"/>
        </w:rPr>
        <w:t>Дубляни</w:t>
      </w:r>
      <w:proofErr w:type="spellEnd"/>
      <w:r w:rsidRPr="00FB18C3">
        <w:rPr>
          <w:rFonts w:ascii="Times New Roman" w:hAnsi="Times New Roman"/>
          <w:color w:val="000000"/>
          <w:sz w:val="24"/>
          <w:szCs w:val="24"/>
          <w:shd w:val="clear" w:color="auto" w:fill="FFFFFF"/>
        </w:rPr>
        <w:t xml:space="preserve"> (с. Малі Підліски, с. </w:t>
      </w:r>
      <w:proofErr w:type="spellStart"/>
      <w:r w:rsidRPr="00FB18C3">
        <w:rPr>
          <w:rFonts w:ascii="Times New Roman" w:hAnsi="Times New Roman"/>
          <w:color w:val="000000"/>
          <w:sz w:val="24"/>
          <w:szCs w:val="24"/>
          <w:shd w:val="clear" w:color="auto" w:fill="FFFFFF"/>
        </w:rPr>
        <w:t>Ситихів</w:t>
      </w:r>
      <w:proofErr w:type="spellEnd"/>
      <w:r w:rsidRPr="00FB18C3">
        <w:rPr>
          <w:rFonts w:ascii="Times New Roman" w:hAnsi="Times New Roman"/>
          <w:color w:val="000000"/>
          <w:sz w:val="24"/>
          <w:szCs w:val="24"/>
          <w:shd w:val="clear" w:color="auto" w:fill="FFFFFF"/>
        </w:rPr>
        <w:t xml:space="preserve">), смт. </w:t>
      </w:r>
      <w:proofErr w:type="spellStart"/>
      <w:r w:rsidRPr="00FB18C3">
        <w:rPr>
          <w:rFonts w:ascii="Times New Roman" w:hAnsi="Times New Roman"/>
          <w:color w:val="000000"/>
          <w:sz w:val="24"/>
          <w:szCs w:val="24"/>
          <w:shd w:val="clear" w:color="auto" w:fill="FFFFFF"/>
        </w:rPr>
        <w:t>Брюховичі</w:t>
      </w:r>
      <w:proofErr w:type="spellEnd"/>
      <w:r w:rsidRPr="00FB18C3">
        <w:rPr>
          <w:rFonts w:ascii="Times New Roman" w:hAnsi="Times New Roman"/>
          <w:color w:val="000000"/>
          <w:sz w:val="24"/>
          <w:szCs w:val="24"/>
          <w:shd w:val="clear" w:color="auto" w:fill="FFFFFF"/>
        </w:rPr>
        <w:t xml:space="preserve">, смт. Рудне, с. Великі </w:t>
      </w:r>
      <w:proofErr w:type="spellStart"/>
      <w:r w:rsidRPr="00FB18C3">
        <w:rPr>
          <w:rFonts w:ascii="Times New Roman" w:hAnsi="Times New Roman"/>
          <w:color w:val="000000"/>
          <w:sz w:val="24"/>
          <w:szCs w:val="24"/>
          <w:shd w:val="clear" w:color="auto" w:fill="FFFFFF"/>
        </w:rPr>
        <w:t>Грибовичі</w:t>
      </w:r>
      <w:proofErr w:type="spellEnd"/>
      <w:r w:rsidRPr="00FB18C3">
        <w:rPr>
          <w:rFonts w:ascii="Times New Roman" w:hAnsi="Times New Roman"/>
          <w:color w:val="000000"/>
          <w:sz w:val="24"/>
          <w:szCs w:val="24"/>
          <w:shd w:val="clear" w:color="auto" w:fill="FFFFFF"/>
        </w:rPr>
        <w:t xml:space="preserve">, (с. Малі </w:t>
      </w:r>
      <w:proofErr w:type="spellStart"/>
      <w:r w:rsidRPr="00FB18C3">
        <w:rPr>
          <w:rFonts w:ascii="Times New Roman" w:hAnsi="Times New Roman"/>
          <w:color w:val="000000"/>
          <w:sz w:val="24"/>
          <w:szCs w:val="24"/>
          <w:shd w:val="clear" w:color="auto" w:fill="FFFFFF"/>
        </w:rPr>
        <w:t>Грибовичі</w:t>
      </w:r>
      <w:proofErr w:type="spellEnd"/>
      <w:r w:rsidRPr="00FB18C3">
        <w:rPr>
          <w:rFonts w:ascii="Times New Roman" w:hAnsi="Times New Roman"/>
          <w:color w:val="000000"/>
          <w:sz w:val="24"/>
          <w:szCs w:val="24"/>
          <w:shd w:val="clear" w:color="auto" w:fill="FFFFFF"/>
        </w:rPr>
        <w:t xml:space="preserve">, c. </w:t>
      </w:r>
      <w:proofErr w:type="spellStart"/>
      <w:r w:rsidRPr="00FB18C3">
        <w:rPr>
          <w:rFonts w:ascii="Times New Roman" w:hAnsi="Times New Roman"/>
          <w:color w:val="000000"/>
          <w:sz w:val="24"/>
          <w:szCs w:val="24"/>
          <w:shd w:val="clear" w:color="auto" w:fill="FFFFFF"/>
        </w:rPr>
        <w:t>Збиранка</w:t>
      </w:r>
      <w:proofErr w:type="spellEnd"/>
      <w:r w:rsidRPr="00FB18C3">
        <w:rPr>
          <w:rFonts w:ascii="Times New Roman" w:hAnsi="Times New Roman"/>
          <w:color w:val="000000"/>
          <w:sz w:val="24"/>
          <w:szCs w:val="24"/>
          <w:shd w:val="clear" w:color="auto" w:fill="FFFFFF"/>
        </w:rPr>
        <w:t>), с. Гряда (с. Воля-</w:t>
      </w:r>
      <w:proofErr w:type="spellStart"/>
      <w:r w:rsidRPr="00FB18C3">
        <w:rPr>
          <w:rFonts w:ascii="Times New Roman" w:hAnsi="Times New Roman"/>
          <w:color w:val="000000"/>
          <w:sz w:val="24"/>
          <w:szCs w:val="24"/>
          <w:shd w:val="clear" w:color="auto" w:fill="FFFFFF"/>
        </w:rPr>
        <w:t>Гомулецька</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Зашків</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Завадів</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Зарудці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Лисиничі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Підбірці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Малехів</w:t>
      </w:r>
      <w:proofErr w:type="spellEnd"/>
      <w:r w:rsidRPr="00FB18C3">
        <w:rPr>
          <w:rFonts w:ascii="Times New Roman" w:hAnsi="Times New Roman"/>
          <w:color w:val="000000"/>
          <w:sz w:val="24"/>
          <w:szCs w:val="24"/>
          <w:shd w:val="clear" w:color="auto" w:fill="FFFFFF"/>
        </w:rPr>
        <w:t xml:space="preserve">, с. Рясне-Руське (с. </w:t>
      </w:r>
      <w:proofErr w:type="spellStart"/>
      <w:r w:rsidRPr="00FB18C3">
        <w:rPr>
          <w:rFonts w:ascii="Times New Roman" w:hAnsi="Times New Roman"/>
          <w:color w:val="000000"/>
          <w:sz w:val="24"/>
          <w:szCs w:val="24"/>
          <w:shd w:val="clear" w:color="auto" w:fill="FFFFFF"/>
        </w:rPr>
        <w:t>Підрясне</w:t>
      </w:r>
      <w:proofErr w:type="spellEnd"/>
      <w:r>
        <w:rPr>
          <w:rFonts w:ascii="Times New Roman" w:eastAsia="Times New Roman" w:hAnsi="Times New Roman"/>
          <w:sz w:val="24"/>
          <w:szCs w:val="24"/>
          <w:lang w:eastAsia="uk-UA"/>
        </w:rPr>
        <w:t>).</w:t>
      </w:r>
    </w:p>
    <w:p w:rsidR="00565ABE" w:rsidRDefault="00565ABE" w:rsidP="00565ABE">
      <w:pPr>
        <w:spacing w:after="0" w:line="240" w:lineRule="auto"/>
        <w:ind w:left="-567"/>
        <w:jc w:val="both"/>
        <w:rPr>
          <w:rFonts w:ascii="Times New Roman" w:hAnsi="Times New Roman"/>
          <w:color w:val="000000"/>
          <w:sz w:val="24"/>
          <w:szCs w:val="24"/>
          <w:shd w:val="clear" w:color="auto" w:fill="FFFFFF"/>
        </w:rPr>
      </w:pPr>
      <w:r w:rsidRPr="00FB18C3">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   </w:t>
      </w:r>
      <w:r w:rsidRPr="00FB18C3">
        <w:rPr>
          <w:rFonts w:ascii="Times New Roman" w:eastAsia="Times New Roman" w:hAnsi="Times New Roman"/>
          <w:sz w:val="24"/>
          <w:szCs w:val="24"/>
          <w:lang w:eastAsia="uk-UA"/>
        </w:rPr>
        <w:t>Відповідно до рішення виконавчого комітету «</w:t>
      </w:r>
      <w:r w:rsidRPr="00FB18C3">
        <w:rPr>
          <w:rFonts w:ascii="Times New Roman" w:hAnsi="Times New Roman"/>
          <w:color w:val="000000"/>
          <w:sz w:val="24"/>
          <w:szCs w:val="24"/>
          <w:shd w:val="clear" w:color="auto" w:fill="FFFFFF"/>
        </w:rPr>
        <w:t xml:space="preserve">Про Реєстр Львівської міської територіальної громади» від  </w:t>
      </w:r>
      <w:r>
        <w:rPr>
          <w:rFonts w:ascii="Times New Roman" w:hAnsi="Times New Roman"/>
          <w:color w:val="000000"/>
          <w:sz w:val="24"/>
          <w:szCs w:val="24"/>
          <w:shd w:val="clear" w:color="auto" w:fill="FFFFFF"/>
        </w:rPr>
        <w:t>08.11.2022 №</w:t>
      </w:r>
      <w:r w:rsidRPr="00FB18C3">
        <w:rPr>
          <w:rFonts w:ascii="Times New Roman" w:hAnsi="Times New Roman"/>
          <w:color w:val="000000"/>
          <w:sz w:val="24"/>
          <w:szCs w:val="24"/>
          <w:shd w:val="clear" w:color="auto" w:fill="FFFFFF"/>
        </w:rPr>
        <w:t>1043</w:t>
      </w:r>
      <w:r>
        <w:rPr>
          <w:rFonts w:ascii="Times New Roman" w:hAnsi="Times New Roman"/>
          <w:color w:val="000000"/>
          <w:sz w:val="24"/>
          <w:szCs w:val="24"/>
          <w:shd w:val="clear" w:color="auto" w:fill="FFFFFF"/>
        </w:rPr>
        <w:t xml:space="preserve"> </w:t>
      </w:r>
      <w:r w:rsidRPr="00FB18C3">
        <w:rPr>
          <w:rFonts w:ascii="Times New Roman" w:hAnsi="Times New Roman"/>
          <w:color w:val="000000"/>
          <w:sz w:val="24"/>
          <w:szCs w:val="24"/>
          <w:shd w:val="clear" w:color="auto" w:fill="FFFFFF"/>
        </w:rPr>
        <w:t xml:space="preserve">затвердженого положення про </w:t>
      </w:r>
      <w:r w:rsidRPr="00FB18C3">
        <w:rPr>
          <w:rFonts w:ascii="Times New Roman" w:eastAsia="Times New Roman" w:hAnsi="Times New Roman"/>
          <w:sz w:val="24"/>
          <w:szCs w:val="24"/>
          <w:lang w:eastAsia="uk-UA"/>
        </w:rPr>
        <w:t>«</w:t>
      </w:r>
      <w:r w:rsidRPr="00FB18C3">
        <w:rPr>
          <w:rFonts w:ascii="Times New Roman" w:hAnsi="Times New Roman"/>
          <w:color w:val="000000"/>
          <w:sz w:val="24"/>
          <w:szCs w:val="24"/>
          <w:shd w:val="clear" w:color="auto" w:fill="FFFFFF"/>
        </w:rPr>
        <w:t>про Реєстр Львівської міської територіальної громади»</w:t>
      </w:r>
      <w:r>
        <w:rPr>
          <w:rFonts w:ascii="Times New Roman" w:hAnsi="Times New Roman"/>
          <w:color w:val="000000"/>
          <w:sz w:val="24"/>
          <w:szCs w:val="24"/>
          <w:shd w:val="clear" w:color="auto" w:fill="FFFFFF"/>
        </w:rPr>
        <w:t>, п.1.1 п</w:t>
      </w:r>
      <w:r w:rsidRPr="00FB18C3">
        <w:rPr>
          <w:rFonts w:ascii="Times New Roman" w:hAnsi="Times New Roman"/>
          <w:color w:val="000000"/>
          <w:sz w:val="24"/>
          <w:szCs w:val="24"/>
          <w:shd w:val="clear" w:color="auto" w:fill="FFFFFF"/>
        </w:rPr>
        <w:t xml:space="preserve">оложення визначає порядок формування та ведення Реєстру Львівської міської територіальної громади, яка включає м. Львів, м. Винники, м. </w:t>
      </w:r>
      <w:proofErr w:type="spellStart"/>
      <w:r w:rsidRPr="00FB18C3">
        <w:rPr>
          <w:rFonts w:ascii="Times New Roman" w:hAnsi="Times New Roman"/>
          <w:color w:val="000000"/>
          <w:sz w:val="24"/>
          <w:szCs w:val="24"/>
          <w:shd w:val="clear" w:color="auto" w:fill="FFFFFF"/>
        </w:rPr>
        <w:t>Дубляни</w:t>
      </w:r>
      <w:proofErr w:type="spellEnd"/>
      <w:r w:rsidRPr="00FB18C3">
        <w:rPr>
          <w:rFonts w:ascii="Times New Roman" w:hAnsi="Times New Roman"/>
          <w:color w:val="000000"/>
          <w:sz w:val="24"/>
          <w:szCs w:val="24"/>
          <w:shd w:val="clear" w:color="auto" w:fill="FFFFFF"/>
        </w:rPr>
        <w:t xml:space="preserve"> (с. Малі Підліски, с. </w:t>
      </w:r>
      <w:proofErr w:type="spellStart"/>
      <w:r w:rsidRPr="00FB18C3">
        <w:rPr>
          <w:rFonts w:ascii="Times New Roman" w:hAnsi="Times New Roman"/>
          <w:color w:val="000000"/>
          <w:sz w:val="24"/>
          <w:szCs w:val="24"/>
          <w:shd w:val="clear" w:color="auto" w:fill="FFFFFF"/>
        </w:rPr>
        <w:t>Ситихів</w:t>
      </w:r>
      <w:proofErr w:type="spellEnd"/>
      <w:r w:rsidRPr="00FB18C3">
        <w:rPr>
          <w:rFonts w:ascii="Times New Roman" w:hAnsi="Times New Roman"/>
          <w:color w:val="000000"/>
          <w:sz w:val="24"/>
          <w:szCs w:val="24"/>
          <w:shd w:val="clear" w:color="auto" w:fill="FFFFFF"/>
        </w:rPr>
        <w:t xml:space="preserve">), смт. </w:t>
      </w:r>
      <w:proofErr w:type="spellStart"/>
      <w:r w:rsidRPr="00FB18C3">
        <w:rPr>
          <w:rFonts w:ascii="Times New Roman" w:hAnsi="Times New Roman"/>
          <w:color w:val="000000"/>
          <w:sz w:val="24"/>
          <w:szCs w:val="24"/>
          <w:shd w:val="clear" w:color="auto" w:fill="FFFFFF"/>
        </w:rPr>
        <w:t>Брюховичі</w:t>
      </w:r>
      <w:proofErr w:type="spellEnd"/>
      <w:r w:rsidRPr="00FB18C3">
        <w:rPr>
          <w:rFonts w:ascii="Times New Roman" w:hAnsi="Times New Roman"/>
          <w:color w:val="000000"/>
          <w:sz w:val="24"/>
          <w:szCs w:val="24"/>
          <w:shd w:val="clear" w:color="auto" w:fill="FFFFFF"/>
        </w:rPr>
        <w:t xml:space="preserve">, смт. Рудне, с. Великі </w:t>
      </w:r>
      <w:proofErr w:type="spellStart"/>
      <w:r w:rsidRPr="00FB18C3">
        <w:rPr>
          <w:rFonts w:ascii="Times New Roman" w:hAnsi="Times New Roman"/>
          <w:color w:val="000000"/>
          <w:sz w:val="24"/>
          <w:szCs w:val="24"/>
          <w:shd w:val="clear" w:color="auto" w:fill="FFFFFF"/>
        </w:rPr>
        <w:t>Грибовичі</w:t>
      </w:r>
      <w:proofErr w:type="spellEnd"/>
      <w:r w:rsidRPr="00FB18C3">
        <w:rPr>
          <w:rFonts w:ascii="Times New Roman" w:hAnsi="Times New Roman"/>
          <w:color w:val="000000"/>
          <w:sz w:val="24"/>
          <w:szCs w:val="24"/>
          <w:shd w:val="clear" w:color="auto" w:fill="FFFFFF"/>
        </w:rPr>
        <w:t xml:space="preserve">, (с. Малі </w:t>
      </w:r>
      <w:proofErr w:type="spellStart"/>
      <w:r w:rsidRPr="00FB18C3">
        <w:rPr>
          <w:rFonts w:ascii="Times New Roman" w:hAnsi="Times New Roman"/>
          <w:color w:val="000000"/>
          <w:sz w:val="24"/>
          <w:szCs w:val="24"/>
          <w:shd w:val="clear" w:color="auto" w:fill="FFFFFF"/>
        </w:rPr>
        <w:t>Грибовичі</w:t>
      </w:r>
      <w:proofErr w:type="spellEnd"/>
      <w:r w:rsidRPr="00FB18C3">
        <w:rPr>
          <w:rFonts w:ascii="Times New Roman" w:hAnsi="Times New Roman"/>
          <w:color w:val="000000"/>
          <w:sz w:val="24"/>
          <w:szCs w:val="24"/>
          <w:shd w:val="clear" w:color="auto" w:fill="FFFFFF"/>
        </w:rPr>
        <w:t xml:space="preserve">, c. </w:t>
      </w:r>
      <w:proofErr w:type="spellStart"/>
      <w:r w:rsidRPr="00FB18C3">
        <w:rPr>
          <w:rFonts w:ascii="Times New Roman" w:hAnsi="Times New Roman"/>
          <w:color w:val="000000"/>
          <w:sz w:val="24"/>
          <w:szCs w:val="24"/>
          <w:shd w:val="clear" w:color="auto" w:fill="FFFFFF"/>
        </w:rPr>
        <w:t>Збиранка</w:t>
      </w:r>
      <w:proofErr w:type="spellEnd"/>
      <w:r w:rsidRPr="00FB18C3">
        <w:rPr>
          <w:rFonts w:ascii="Times New Roman" w:hAnsi="Times New Roman"/>
          <w:color w:val="000000"/>
          <w:sz w:val="24"/>
          <w:szCs w:val="24"/>
          <w:shd w:val="clear" w:color="auto" w:fill="FFFFFF"/>
        </w:rPr>
        <w:t>), с. Гряда (с. Воля-</w:t>
      </w:r>
      <w:proofErr w:type="spellStart"/>
      <w:r w:rsidRPr="00FB18C3">
        <w:rPr>
          <w:rFonts w:ascii="Times New Roman" w:hAnsi="Times New Roman"/>
          <w:color w:val="000000"/>
          <w:sz w:val="24"/>
          <w:szCs w:val="24"/>
          <w:shd w:val="clear" w:color="auto" w:fill="FFFFFF"/>
        </w:rPr>
        <w:t>Гомулецька</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Зашків</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Завадів</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Зарудці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Лисиничі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Підбірці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Малехів</w:t>
      </w:r>
      <w:proofErr w:type="spellEnd"/>
      <w:r w:rsidRPr="00FB18C3">
        <w:rPr>
          <w:rFonts w:ascii="Times New Roman" w:hAnsi="Times New Roman"/>
          <w:color w:val="000000"/>
          <w:sz w:val="24"/>
          <w:szCs w:val="24"/>
          <w:shd w:val="clear" w:color="auto" w:fill="FFFFFF"/>
        </w:rPr>
        <w:t xml:space="preserve">, с. Рясне-Руське (с. </w:t>
      </w:r>
      <w:proofErr w:type="spellStart"/>
      <w:r w:rsidRPr="00FB18C3">
        <w:rPr>
          <w:rFonts w:ascii="Times New Roman" w:hAnsi="Times New Roman"/>
          <w:color w:val="000000"/>
          <w:sz w:val="24"/>
          <w:szCs w:val="24"/>
          <w:shd w:val="clear" w:color="auto" w:fill="FFFFFF"/>
        </w:rPr>
        <w:t>Підрясне</w:t>
      </w:r>
      <w:proofErr w:type="spellEnd"/>
      <w:r w:rsidRPr="00FB18C3">
        <w:rPr>
          <w:rFonts w:ascii="Times New Roman" w:hAnsi="Times New Roman"/>
          <w:color w:val="000000"/>
          <w:sz w:val="24"/>
          <w:szCs w:val="24"/>
          <w:shd w:val="clear" w:color="auto" w:fill="FFFFFF"/>
        </w:rPr>
        <w:t>) (надалі – Реєстр), а також надання відомостей з нього.</w:t>
      </w:r>
      <w:r>
        <w:rPr>
          <w:rFonts w:ascii="Times New Roman" w:hAnsi="Times New Roman"/>
          <w:color w:val="000000"/>
          <w:sz w:val="24"/>
          <w:szCs w:val="24"/>
          <w:shd w:val="clear" w:color="auto" w:fill="FFFFFF"/>
        </w:rPr>
        <w:t xml:space="preserve"> </w:t>
      </w:r>
    </w:p>
    <w:p w:rsidR="00565ABE" w:rsidRPr="00FB18C3" w:rsidRDefault="00565ABE" w:rsidP="00565ABE">
      <w:pPr>
        <w:spacing w:after="0" w:line="240" w:lineRule="auto"/>
        <w:ind w:left="-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Пункт 1.2 п</w:t>
      </w:r>
      <w:r w:rsidRPr="00FB18C3">
        <w:rPr>
          <w:rFonts w:ascii="Times New Roman" w:hAnsi="Times New Roman"/>
          <w:color w:val="000000"/>
          <w:sz w:val="24"/>
          <w:szCs w:val="24"/>
          <w:shd w:val="clear" w:color="auto" w:fill="FFFFFF"/>
        </w:rPr>
        <w:t xml:space="preserve">оложення </w:t>
      </w:r>
      <w:r>
        <w:rPr>
          <w:rFonts w:ascii="Times New Roman" w:hAnsi="Times New Roman"/>
          <w:color w:val="000000"/>
          <w:sz w:val="24"/>
          <w:szCs w:val="24"/>
          <w:shd w:val="clear" w:color="auto" w:fill="FFFFFF"/>
        </w:rPr>
        <w:t>передбачає, що р</w:t>
      </w:r>
      <w:r w:rsidRPr="00FB18C3">
        <w:rPr>
          <w:rFonts w:ascii="Times New Roman" w:hAnsi="Times New Roman"/>
          <w:color w:val="000000"/>
          <w:sz w:val="24"/>
          <w:szCs w:val="24"/>
          <w:shd w:val="clear" w:color="auto" w:fill="FFFFFF"/>
        </w:rPr>
        <w:t xml:space="preserve">еєстр – автоматизована база даних, призначена для зберігання та обробки інформації, що створюється, ведеться органом реєстрації, його посадовими особами для обліку фізичних осіб, які постійно або тимчасово проживають на території м. Львова, м. Винники, м. </w:t>
      </w:r>
      <w:proofErr w:type="spellStart"/>
      <w:r w:rsidRPr="00FB18C3">
        <w:rPr>
          <w:rFonts w:ascii="Times New Roman" w:hAnsi="Times New Roman"/>
          <w:color w:val="000000"/>
          <w:sz w:val="24"/>
          <w:szCs w:val="24"/>
          <w:shd w:val="clear" w:color="auto" w:fill="FFFFFF"/>
        </w:rPr>
        <w:lastRenderedPageBreak/>
        <w:t>Дубляни</w:t>
      </w:r>
      <w:proofErr w:type="spellEnd"/>
      <w:r w:rsidRPr="00FB18C3">
        <w:rPr>
          <w:rFonts w:ascii="Times New Roman" w:hAnsi="Times New Roman"/>
          <w:color w:val="000000"/>
          <w:sz w:val="24"/>
          <w:szCs w:val="24"/>
          <w:shd w:val="clear" w:color="auto" w:fill="FFFFFF"/>
        </w:rPr>
        <w:t xml:space="preserve"> (с. Малі Підліски, с. </w:t>
      </w:r>
      <w:proofErr w:type="spellStart"/>
      <w:r w:rsidRPr="00FB18C3">
        <w:rPr>
          <w:rFonts w:ascii="Times New Roman" w:hAnsi="Times New Roman"/>
          <w:color w:val="000000"/>
          <w:sz w:val="24"/>
          <w:szCs w:val="24"/>
          <w:shd w:val="clear" w:color="auto" w:fill="FFFFFF"/>
        </w:rPr>
        <w:t>Ситихів</w:t>
      </w:r>
      <w:proofErr w:type="spellEnd"/>
      <w:r w:rsidRPr="00FB18C3">
        <w:rPr>
          <w:rFonts w:ascii="Times New Roman" w:hAnsi="Times New Roman"/>
          <w:color w:val="000000"/>
          <w:sz w:val="24"/>
          <w:szCs w:val="24"/>
          <w:shd w:val="clear" w:color="auto" w:fill="FFFFFF"/>
        </w:rPr>
        <w:t xml:space="preserve">), смт. </w:t>
      </w:r>
      <w:proofErr w:type="spellStart"/>
      <w:r w:rsidRPr="00FB18C3">
        <w:rPr>
          <w:rFonts w:ascii="Times New Roman" w:hAnsi="Times New Roman"/>
          <w:color w:val="000000"/>
          <w:sz w:val="24"/>
          <w:szCs w:val="24"/>
          <w:shd w:val="clear" w:color="auto" w:fill="FFFFFF"/>
        </w:rPr>
        <w:t>Брюховичі</w:t>
      </w:r>
      <w:proofErr w:type="spellEnd"/>
      <w:r w:rsidRPr="00FB18C3">
        <w:rPr>
          <w:rFonts w:ascii="Times New Roman" w:hAnsi="Times New Roman"/>
          <w:color w:val="000000"/>
          <w:sz w:val="24"/>
          <w:szCs w:val="24"/>
          <w:shd w:val="clear" w:color="auto" w:fill="FFFFFF"/>
        </w:rPr>
        <w:t xml:space="preserve">, смт. Рудне, с. Великі </w:t>
      </w:r>
      <w:proofErr w:type="spellStart"/>
      <w:r w:rsidRPr="00FB18C3">
        <w:rPr>
          <w:rFonts w:ascii="Times New Roman" w:hAnsi="Times New Roman"/>
          <w:color w:val="000000"/>
          <w:sz w:val="24"/>
          <w:szCs w:val="24"/>
          <w:shd w:val="clear" w:color="auto" w:fill="FFFFFF"/>
        </w:rPr>
        <w:t>Грибовичі</w:t>
      </w:r>
      <w:proofErr w:type="spellEnd"/>
      <w:r w:rsidRPr="00FB18C3">
        <w:rPr>
          <w:rFonts w:ascii="Times New Roman" w:hAnsi="Times New Roman"/>
          <w:color w:val="000000"/>
          <w:sz w:val="24"/>
          <w:szCs w:val="24"/>
          <w:shd w:val="clear" w:color="auto" w:fill="FFFFFF"/>
        </w:rPr>
        <w:t xml:space="preserve">, (с. Малі </w:t>
      </w:r>
      <w:proofErr w:type="spellStart"/>
      <w:r w:rsidRPr="00FB18C3">
        <w:rPr>
          <w:rFonts w:ascii="Times New Roman" w:hAnsi="Times New Roman"/>
          <w:color w:val="000000"/>
          <w:sz w:val="24"/>
          <w:szCs w:val="24"/>
          <w:shd w:val="clear" w:color="auto" w:fill="FFFFFF"/>
        </w:rPr>
        <w:t>Грибовичі</w:t>
      </w:r>
      <w:proofErr w:type="spellEnd"/>
      <w:r w:rsidRPr="00FB18C3">
        <w:rPr>
          <w:rFonts w:ascii="Times New Roman" w:hAnsi="Times New Roman"/>
          <w:color w:val="000000"/>
          <w:sz w:val="24"/>
          <w:szCs w:val="24"/>
          <w:shd w:val="clear" w:color="auto" w:fill="FFFFFF"/>
        </w:rPr>
        <w:t xml:space="preserve">, c. </w:t>
      </w:r>
      <w:proofErr w:type="spellStart"/>
      <w:r w:rsidRPr="00FB18C3">
        <w:rPr>
          <w:rFonts w:ascii="Times New Roman" w:hAnsi="Times New Roman"/>
          <w:color w:val="000000"/>
          <w:sz w:val="24"/>
          <w:szCs w:val="24"/>
          <w:shd w:val="clear" w:color="auto" w:fill="FFFFFF"/>
        </w:rPr>
        <w:t>Збиранка</w:t>
      </w:r>
      <w:proofErr w:type="spellEnd"/>
      <w:r w:rsidRPr="00FB18C3">
        <w:rPr>
          <w:rFonts w:ascii="Times New Roman" w:hAnsi="Times New Roman"/>
          <w:color w:val="000000"/>
          <w:sz w:val="24"/>
          <w:szCs w:val="24"/>
          <w:shd w:val="clear" w:color="auto" w:fill="FFFFFF"/>
        </w:rPr>
        <w:t>), с. Гряда (с. Воля-</w:t>
      </w:r>
      <w:proofErr w:type="spellStart"/>
      <w:r w:rsidRPr="00FB18C3">
        <w:rPr>
          <w:rFonts w:ascii="Times New Roman" w:hAnsi="Times New Roman"/>
          <w:color w:val="000000"/>
          <w:sz w:val="24"/>
          <w:szCs w:val="24"/>
          <w:shd w:val="clear" w:color="auto" w:fill="FFFFFF"/>
        </w:rPr>
        <w:t>Гомулецька</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Зашків</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Завадів</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Зарудці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Лисиничі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Підбірці</w:t>
      </w:r>
      <w:proofErr w:type="spellEnd"/>
      <w:r w:rsidRPr="00FB18C3">
        <w:rPr>
          <w:rFonts w:ascii="Times New Roman" w:hAnsi="Times New Roman"/>
          <w:color w:val="000000"/>
          <w:sz w:val="24"/>
          <w:szCs w:val="24"/>
          <w:shd w:val="clear" w:color="auto" w:fill="FFFFFF"/>
        </w:rPr>
        <w:t xml:space="preserve">), с. </w:t>
      </w:r>
      <w:proofErr w:type="spellStart"/>
      <w:r w:rsidRPr="00FB18C3">
        <w:rPr>
          <w:rFonts w:ascii="Times New Roman" w:hAnsi="Times New Roman"/>
          <w:color w:val="000000"/>
          <w:sz w:val="24"/>
          <w:szCs w:val="24"/>
          <w:shd w:val="clear" w:color="auto" w:fill="FFFFFF"/>
        </w:rPr>
        <w:t>Малехів</w:t>
      </w:r>
      <w:proofErr w:type="spellEnd"/>
      <w:r w:rsidRPr="00FB18C3">
        <w:rPr>
          <w:rFonts w:ascii="Times New Roman" w:hAnsi="Times New Roman"/>
          <w:color w:val="000000"/>
          <w:sz w:val="24"/>
          <w:szCs w:val="24"/>
          <w:shd w:val="clear" w:color="auto" w:fill="FFFFFF"/>
        </w:rPr>
        <w:t xml:space="preserve">, с. Рясне-Руське (с. </w:t>
      </w:r>
      <w:proofErr w:type="spellStart"/>
      <w:r w:rsidRPr="00FB18C3">
        <w:rPr>
          <w:rFonts w:ascii="Times New Roman" w:hAnsi="Times New Roman"/>
          <w:color w:val="000000"/>
          <w:sz w:val="24"/>
          <w:szCs w:val="24"/>
          <w:shd w:val="clear" w:color="auto" w:fill="FFFFFF"/>
        </w:rPr>
        <w:t>Підрясне</w:t>
      </w:r>
      <w:proofErr w:type="spellEnd"/>
      <w:r w:rsidRPr="00FB18C3">
        <w:rPr>
          <w:rFonts w:ascii="Times New Roman" w:hAnsi="Times New Roman"/>
          <w:color w:val="000000"/>
          <w:sz w:val="24"/>
          <w:szCs w:val="24"/>
          <w:shd w:val="clear" w:color="auto" w:fill="FFFFFF"/>
        </w:rPr>
        <w:t xml:space="preserve">), а також використання визначеної Законом України “Про свободу пересування та вільний вибір місця проживання в Україні“ інформації органами та службами, що відповідно до законів України потребують її для реалізації прав та законних інтересів громадян за їх заявою, а також виконання ними встановленого законодавством обсягу обов’язків (надання адміністративних послуг), надання житлово-експлуатаційних послуг, нарахування усіх видів соціальної допомоги, субсидії тощо. Технічне забезпечення функціонування програмних засобів Реєстру покладається на Львівське комунальне підприємство “Міський центр інформаційних технологій“ та відповідно до </w:t>
      </w:r>
      <w:r>
        <w:rPr>
          <w:rFonts w:ascii="Times New Roman" w:hAnsi="Times New Roman"/>
          <w:color w:val="000000"/>
          <w:sz w:val="24"/>
          <w:szCs w:val="24"/>
          <w:shd w:val="clear" w:color="auto" w:fill="FFFFFF"/>
        </w:rPr>
        <w:t xml:space="preserve">п. </w:t>
      </w:r>
      <w:r w:rsidRPr="00FB18C3">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3.7</w:t>
      </w:r>
      <w:r w:rsidRPr="00FB18C3">
        <w:rPr>
          <w:rFonts w:ascii="Times New Roman" w:hAnsi="Times New Roman"/>
          <w:color w:val="000000"/>
          <w:sz w:val="24"/>
          <w:szCs w:val="24"/>
          <w:shd w:val="clear" w:color="auto" w:fill="FFFFFF"/>
        </w:rPr>
        <w:t>. Суб’єктами Реєстру є</w:t>
      </w:r>
      <w:r w:rsidRPr="00C22A3E">
        <w:rPr>
          <w:rFonts w:ascii="Times New Roman" w:hAnsi="Times New Roman"/>
          <w:color w:val="000000"/>
          <w:sz w:val="24"/>
          <w:szCs w:val="24"/>
          <w:shd w:val="clear" w:color="auto" w:fill="FFFFFF"/>
        </w:rPr>
        <w:t>: Департамент міської агломерації (зараз Офіс агломерації та розвитку громад ЛМР)</w:t>
      </w:r>
      <w:r>
        <w:rPr>
          <w:rFonts w:ascii="Times New Roman" w:hAnsi="Times New Roman"/>
          <w:color w:val="000000"/>
          <w:sz w:val="24"/>
          <w:szCs w:val="24"/>
          <w:shd w:val="clear" w:color="auto" w:fill="FFFFFF"/>
        </w:rPr>
        <w:t>. У пункті 2.7 вказано, що а</w:t>
      </w:r>
      <w:r w:rsidRPr="00FB18C3">
        <w:rPr>
          <w:rFonts w:ascii="Times New Roman" w:hAnsi="Times New Roman"/>
          <w:color w:val="000000"/>
          <w:sz w:val="24"/>
          <w:szCs w:val="24"/>
          <w:shd w:val="clear" w:color="auto" w:fill="FFFFFF"/>
        </w:rPr>
        <w:t xml:space="preserve">дміністратором Реєстру є Львівське комунальне підприємство “Міський </w:t>
      </w:r>
      <w:r>
        <w:rPr>
          <w:rFonts w:ascii="Times New Roman" w:hAnsi="Times New Roman"/>
          <w:color w:val="000000"/>
          <w:sz w:val="24"/>
          <w:szCs w:val="24"/>
          <w:shd w:val="clear" w:color="auto" w:fill="FFFFFF"/>
        </w:rPr>
        <w:t xml:space="preserve">центр інформаційних технологій“, пунктом </w:t>
      </w:r>
      <w:r w:rsidRPr="00FB18C3">
        <w:rPr>
          <w:rFonts w:ascii="Times New Roman" w:hAnsi="Times New Roman"/>
          <w:color w:val="000000"/>
          <w:sz w:val="24"/>
          <w:szCs w:val="24"/>
          <w:shd w:val="clear" w:color="auto" w:fill="FFFFFF"/>
        </w:rPr>
        <w:t>2.10</w:t>
      </w:r>
      <w:r>
        <w:rPr>
          <w:rFonts w:ascii="Times New Roman" w:hAnsi="Times New Roman"/>
          <w:color w:val="000000"/>
          <w:sz w:val="24"/>
          <w:szCs w:val="24"/>
          <w:shd w:val="clear" w:color="auto" w:fill="FFFFFF"/>
        </w:rPr>
        <w:t xml:space="preserve"> положення</w:t>
      </w:r>
      <w:r w:rsidRPr="00FB18C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передбачено, що д</w:t>
      </w:r>
      <w:r w:rsidRPr="00FB18C3">
        <w:rPr>
          <w:rFonts w:ascii="Times New Roman" w:hAnsi="Times New Roman"/>
          <w:color w:val="000000"/>
          <w:sz w:val="24"/>
          <w:szCs w:val="24"/>
          <w:shd w:val="clear" w:color="auto" w:fill="FFFFFF"/>
        </w:rPr>
        <w:t>ля отримання доступу до Реєстру користувачі (окрім нотаріусів) мають звернутися до розпорядника Реєстру з відповідною заявою (додаток 1 до цього Положення). Користувачі Реєстру для отримання відповідного доступу до Реєстру укладають договір про надання послуг з підключення та забезпечення доступу для користування інформаційною системою “Реєстр Львівської міської територіальної громади“ з адміністратором Реєстру згідно із затвердженими розцінками.</w:t>
      </w:r>
    </w:p>
    <w:p w:rsidR="00565ABE" w:rsidRDefault="00565ABE" w:rsidP="00565ABE">
      <w:pPr>
        <w:spacing w:after="0" w:line="240" w:lineRule="auto"/>
        <w:jc w:val="both"/>
        <w:rPr>
          <w:rFonts w:ascii="Times New Roman" w:hAnsi="Times New Roman"/>
          <w:color w:val="000000"/>
          <w:sz w:val="24"/>
          <w:szCs w:val="24"/>
          <w:shd w:val="clear" w:color="auto" w:fill="FFFFFF"/>
        </w:rPr>
      </w:pPr>
      <w:r w:rsidRPr="00FB18C3">
        <w:rPr>
          <w:rFonts w:ascii="Times New Roman" w:hAnsi="Times New Roman"/>
          <w:color w:val="000000"/>
          <w:sz w:val="24"/>
          <w:szCs w:val="24"/>
          <w:shd w:val="clear" w:color="auto" w:fill="FFFFFF"/>
        </w:rPr>
        <w:t xml:space="preserve">       </w:t>
      </w:r>
    </w:p>
    <w:p w:rsidR="00565ABE" w:rsidRPr="0078755D" w:rsidRDefault="00565ABE" w:rsidP="00565ABE">
      <w:pPr>
        <w:widowControl w:val="0"/>
        <w:shd w:val="clear" w:color="auto" w:fill="FFFFFF"/>
        <w:tabs>
          <w:tab w:val="left" w:pos="720"/>
          <w:tab w:val="left" w:pos="10440"/>
        </w:tabs>
        <w:autoSpaceDE w:val="0"/>
        <w:autoSpaceDN w:val="0"/>
        <w:adjustRightInd w:val="0"/>
        <w:spacing w:after="0" w:line="240" w:lineRule="auto"/>
        <w:ind w:left="-567" w:right="-79" w:hanging="142"/>
        <w:jc w:val="both"/>
        <w:rPr>
          <w:rFonts w:ascii="Times New Roman" w:eastAsia="Times New Roman" w:hAnsi="Times New Roman"/>
          <w:spacing w:val="-1"/>
          <w:sz w:val="24"/>
          <w:szCs w:val="24"/>
          <w:lang w:eastAsia="ru-RU"/>
        </w:rPr>
      </w:pPr>
      <w:r>
        <w:rPr>
          <w:rFonts w:ascii="Times New Roman" w:hAnsi="Times New Roman"/>
          <w:color w:val="000000"/>
          <w:sz w:val="24"/>
          <w:szCs w:val="24"/>
          <w:shd w:val="clear" w:color="auto" w:fill="FFFFFF"/>
        </w:rPr>
        <w:t xml:space="preserve">            </w:t>
      </w:r>
      <w:r w:rsidRPr="0078755D">
        <w:rPr>
          <w:rFonts w:ascii="Times New Roman" w:eastAsia="Times New Roman" w:hAnsi="Times New Roman"/>
          <w:spacing w:val="-1"/>
          <w:sz w:val="24"/>
          <w:szCs w:val="24"/>
          <w:lang w:eastAsia="ru-RU"/>
        </w:rPr>
        <w:t>Враховуючи наведене та специфіку закупівлі замовник має можливість здійснити закупівлю «</w:t>
      </w:r>
      <w:proofErr w:type="spellStart"/>
      <w:r w:rsidRPr="0078755D">
        <w:rPr>
          <w:rFonts w:ascii="Times New Roman" w:eastAsia="Times New Roman" w:hAnsi="Times New Roman"/>
          <w:color w:val="000000" w:themeColor="text1"/>
          <w:sz w:val="24"/>
          <w:szCs w:val="24"/>
          <w:lang w:val="en-US" w:eastAsia="uk-UA"/>
        </w:rPr>
        <w:t>Доступ</w:t>
      </w:r>
      <w:proofErr w:type="spellEnd"/>
      <w:r w:rsidRPr="0078755D">
        <w:rPr>
          <w:rFonts w:ascii="Times New Roman" w:eastAsia="Times New Roman" w:hAnsi="Times New Roman"/>
          <w:color w:val="000000" w:themeColor="text1"/>
          <w:sz w:val="24"/>
          <w:szCs w:val="24"/>
          <w:lang w:val="en-US" w:eastAsia="uk-UA"/>
        </w:rPr>
        <w:t xml:space="preserve"> </w:t>
      </w:r>
      <w:proofErr w:type="spellStart"/>
      <w:r w:rsidRPr="0078755D">
        <w:rPr>
          <w:rFonts w:ascii="Times New Roman" w:eastAsia="Times New Roman" w:hAnsi="Times New Roman"/>
          <w:color w:val="000000" w:themeColor="text1"/>
          <w:sz w:val="24"/>
          <w:szCs w:val="24"/>
          <w:lang w:val="en-US" w:eastAsia="uk-UA"/>
        </w:rPr>
        <w:t>та</w:t>
      </w:r>
      <w:proofErr w:type="spellEnd"/>
      <w:r w:rsidRPr="0078755D">
        <w:rPr>
          <w:rFonts w:ascii="Times New Roman" w:eastAsia="Times New Roman" w:hAnsi="Times New Roman"/>
          <w:color w:val="000000" w:themeColor="text1"/>
          <w:sz w:val="24"/>
          <w:szCs w:val="24"/>
          <w:lang w:val="en-US" w:eastAsia="uk-UA"/>
        </w:rPr>
        <w:t xml:space="preserve"> </w:t>
      </w:r>
      <w:proofErr w:type="spellStart"/>
      <w:r w:rsidRPr="0078755D">
        <w:rPr>
          <w:rFonts w:ascii="Times New Roman" w:eastAsia="Times New Roman" w:hAnsi="Times New Roman"/>
          <w:color w:val="000000" w:themeColor="text1"/>
          <w:sz w:val="24"/>
          <w:szCs w:val="24"/>
          <w:lang w:val="en-US" w:eastAsia="uk-UA"/>
        </w:rPr>
        <w:t>підтримка</w:t>
      </w:r>
      <w:proofErr w:type="spellEnd"/>
      <w:r w:rsidRPr="0078755D">
        <w:rPr>
          <w:rFonts w:ascii="Times New Roman" w:eastAsia="Times New Roman" w:hAnsi="Times New Roman"/>
          <w:color w:val="000000" w:themeColor="text1"/>
          <w:sz w:val="24"/>
          <w:szCs w:val="24"/>
          <w:lang w:val="en-US" w:eastAsia="uk-UA"/>
        </w:rPr>
        <w:t xml:space="preserve"> </w:t>
      </w:r>
      <w:proofErr w:type="spellStart"/>
      <w:r w:rsidRPr="0078755D">
        <w:rPr>
          <w:rFonts w:ascii="Times New Roman" w:eastAsia="Times New Roman" w:hAnsi="Times New Roman"/>
          <w:color w:val="000000" w:themeColor="text1"/>
          <w:sz w:val="24"/>
          <w:szCs w:val="24"/>
          <w:lang w:val="en-US" w:eastAsia="uk-UA"/>
        </w:rPr>
        <w:t>розробленого</w:t>
      </w:r>
      <w:proofErr w:type="spellEnd"/>
      <w:r w:rsidRPr="0078755D">
        <w:rPr>
          <w:rFonts w:ascii="Times New Roman" w:eastAsia="Times New Roman" w:hAnsi="Times New Roman"/>
          <w:color w:val="000000" w:themeColor="text1"/>
          <w:sz w:val="24"/>
          <w:szCs w:val="24"/>
          <w:lang w:val="en-US" w:eastAsia="uk-UA"/>
        </w:rPr>
        <w:t xml:space="preserve"> </w:t>
      </w:r>
      <w:proofErr w:type="spellStart"/>
      <w:r w:rsidRPr="0078755D">
        <w:rPr>
          <w:rFonts w:ascii="Times New Roman" w:eastAsia="Times New Roman" w:hAnsi="Times New Roman"/>
          <w:color w:val="000000" w:themeColor="text1"/>
          <w:sz w:val="24"/>
          <w:szCs w:val="24"/>
          <w:lang w:val="en-US" w:eastAsia="uk-UA"/>
        </w:rPr>
        <w:t>програмного</w:t>
      </w:r>
      <w:proofErr w:type="spellEnd"/>
      <w:r w:rsidRPr="0078755D">
        <w:rPr>
          <w:rFonts w:ascii="Times New Roman" w:eastAsia="Times New Roman" w:hAnsi="Times New Roman"/>
          <w:color w:val="000000" w:themeColor="text1"/>
          <w:sz w:val="24"/>
          <w:szCs w:val="24"/>
          <w:lang w:val="en-US" w:eastAsia="uk-UA"/>
        </w:rPr>
        <w:t xml:space="preserve"> </w:t>
      </w:r>
      <w:proofErr w:type="spellStart"/>
      <w:r w:rsidRPr="0078755D">
        <w:rPr>
          <w:rFonts w:ascii="Times New Roman" w:eastAsia="Times New Roman" w:hAnsi="Times New Roman"/>
          <w:color w:val="000000" w:themeColor="text1"/>
          <w:sz w:val="24"/>
          <w:szCs w:val="24"/>
          <w:lang w:val="en-US" w:eastAsia="uk-UA"/>
        </w:rPr>
        <w:t>забезпечення</w:t>
      </w:r>
      <w:proofErr w:type="spellEnd"/>
      <w:r w:rsidRPr="0078755D">
        <w:rPr>
          <w:rFonts w:ascii="Times New Roman" w:eastAsia="Times New Roman" w:hAnsi="Times New Roman"/>
          <w:color w:val="000000" w:themeColor="text1"/>
          <w:sz w:val="24"/>
          <w:szCs w:val="24"/>
          <w:lang w:eastAsia="uk-UA"/>
        </w:rPr>
        <w:t>»</w:t>
      </w:r>
      <w:r w:rsidRPr="0078755D">
        <w:rPr>
          <w:rFonts w:ascii="Times New Roman" w:eastAsia="Times New Roman" w:hAnsi="Times New Roman"/>
          <w:color w:val="000000" w:themeColor="text1"/>
          <w:sz w:val="24"/>
          <w:szCs w:val="24"/>
          <w:lang w:val="en-US" w:eastAsia="uk-UA"/>
        </w:rPr>
        <w:t xml:space="preserve"> </w:t>
      </w:r>
      <w:r w:rsidRPr="0078755D">
        <w:rPr>
          <w:rFonts w:ascii="Times New Roman" w:eastAsia="Times New Roman" w:hAnsi="Times New Roman"/>
          <w:sz w:val="24"/>
          <w:szCs w:val="24"/>
          <w:lang w:eastAsia="ru-RU"/>
        </w:rPr>
        <w:t xml:space="preserve">(ДК 021:2015:72320000-4 Послуги, пов’язані з базами даних) на підставі абзацу  4 підпункту 5 пункту 13 Особливостей, лише шляхом оприлюднення в електронній системі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відповідно до статті 10 Закону звіту про договір про закупівлю, укладеного без використання електронної системи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w:t>
      </w:r>
    </w:p>
    <w:p w:rsidR="00565ABE" w:rsidRPr="0078755D" w:rsidRDefault="00565ABE" w:rsidP="00565ABE">
      <w:pPr>
        <w:spacing w:after="0" w:line="240" w:lineRule="auto"/>
        <w:rPr>
          <w:rFonts w:ascii="Times New Roman" w:hAnsi="Times New Roman"/>
          <w:sz w:val="24"/>
          <w:szCs w:val="24"/>
        </w:rPr>
      </w:pPr>
    </w:p>
    <w:p w:rsidR="00565ABE" w:rsidRPr="0078755D" w:rsidRDefault="00565ABE" w:rsidP="00565ABE">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sz w:val="24"/>
          <w:szCs w:val="24"/>
          <w:lang w:eastAsia="ru-RU"/>
        </w:rPr>
      </w:pPr>
      <w:r w:rsidRPr="0078755D">
        <w:rPr>
          <w:rFonts w:ascii="Times New Roman" w:eastAsia="Times New Roman" w:hAnsi="Times New Roman"/>
          <w:sz w:val="24"/>
          <w:szCs w:val="24"/>
          <w:lang w:eastAsia="ru-RU"/>
        </w:rPr>
        <w:t xml:space="preserve">Відповідно до положень абзацу двадцять восьмого пункту 13 Особливостей, за результатами закупівлі, здійсненої відповідно до цього пункту, замовники оприлюднюють в електронній системі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звіт про договір про закупівлю, укладений без використання електронної системи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відповідно до пункту 3-8 розділу X «Прикінцеві та перехідні положення» Закону. Водночас пунктом 3-8 розділу X «Прикінцеві та перехідні положення» Закону установлено, що на період дії правового режиму воєнного стану в Україні в разі здійснення замовником закупівлі без використання електронної системи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за умови що вартість закупівлі дорівнює або перевищує 50 тисяч гривень, замовник оприлюднює в електронній системі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звіт про договір про закупівлю, укладений без використання електронної системи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не пізніше ніж через 10 робочих днів з дня укладення такого договору. Замовники можуть не публікувати інформацію про своє місцезнаходження та/або місцезнаходження постачальників (виконавців робіт та надавачів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постачальників (виконавців робіт та надавачів послуг). </w:t>
      </w:r>
    </w:p>
    <w:p w:rsidR="00565ABE" w:rsidRPr="0078755D" w:rsidRDefault="00565ABE" w:rsidP="00565ABE">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sz w:val="24"/>
          <w:szCs w:val="24"/>
          <w:lang w:eastAsia="ru-RU"/>
        </w:rPr>
      </w:pPr>
      <w:r w:rsidRPr="0078755D">
        <w:rPr>
          <w:rFonts w:ascii="Times New Roman" w:eastAsia="Times New Roman" w:hAnsi="Times New Roman"/>
          <w:sz w:val="24"/>
          <w:szCs w:val="24"/>
          <w:lang w:eastAsia="ru-RU"/>
        </w:rPr>
        <w:t xml:space="preserve">Крім того, відповідно до абзацу двадцять дев’ятого пункту 13 Особливостей, 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оприлюднює в електронній системі </w:t>
      </w:r>
      <w:proofErr w:type="spellStart"/>
      <w:r w:rsidRPr="0078755D">
        <w:rPr>
          <w:rFonts w:ascii="Times New Roman" w:eastAsia="Times New Roman" w:hAnsi="Times New Roman"/>
          <w:sz w:val="24"/>
          <w:szCs w:val="24"/>
          <w:lang w:eastAsia="ru-RU"/>
        </w:rPr>
        <w:t>закупівель</w:t>
      </w:r>
      <w:proofErr w:type="spellEnd"/>
      <w:r w:rsidRPr="0078755D">
        <w:rPr>
          <w:rFonts w:ascii="Times New Roman" w:eastAsia="Times New Roman" w:hAnsi="Times New Roman"/>
          <w:sz w:val="24"/>
          <w:szCs w:val="24"/>
          <w:lang w:eastAsia="ru-RU"/>
        </w:rPr>
        <w:t xml:space="preserve">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 </w:t>
      </w:r>
    </w:p>
    <w:p w:rsidR="00565ABE" w:rsidRPr="0074461A" w:rsidRDefault="00565ABE" w:rsidP="00565ABE">
      <w:pPr>
        <w:widowControl w:val="0"/>
        <w:shd w:val="clear" w:color="auto" w:fill="FFFFFF"/>
        <w:tabs>
          <w:tab w:val="left" w:pos="720"/>
          <w:tab w:val="left" w:pos="10440"/>
        </w:tabs>
        <w:autoSpaceDE w:val="0"/>
        <w:autoSpaceDN w:val="0"/>
        <w:adjustRightInd w:val="0"/>
        <w:spacing w:after="0" w:line="240" w:lineRule="auto"/>
        <w:ind w:left="-567" w:right="-79" w:firstLine="567"/>
        <w:jc w:val="both"/>
        <w:rPr>
          <w:rFonts w:ascii="Times New Roman" w:eastAsia="Times New Roman" w:hAnsi="Times New Roman"/>
          <w:lang w:eastAsia="ru-RU"/>
        </w:rPr>
      </w:pPr>
    </w:p>
    <w:p w:rsidR="00EF3F6F" w:rsidRDefault="00EF3F6F" w:rsidP="00EF3F6F">
      <w:pPr>
        <w:rPr>
          <w:rFonts w:ascii="Arial" w:hAnsi="Arial" w:cs="Arial"/>
          <w:b/>
          <w:bCs/>
          <w:i/>
          <w:iCs/>
          <w:color w:val="242424"/>
        </w:rPr>
      </w:pPr>
    </w:p>
    <w:p w:rsidR="00565ABE" w:rsidRDefault="00EF3F6F" w:rsidP="00565ABE">
      <w:pPr>
        <w:rPr>
          <w:rFonts w:ascii="Arial" w:hAnsi="Arial" w:cs="Arial"/>
          <w:b/>
          <w:color w:val="333333"/>
        </w:rPr>
      </w:pPr>
      <w:r>
        <w:rPr>
          <w:rFonts w:ascii="Arial" w:hAnsi="Arial" w:cs="Arial"/>
          <w:b/>
          <w:bCs/>
          <w:i/>
          <w:iCs/>
          <w:color w:val="242424"/>
        </w:rPr>
        <w:lastRenderedPageBreak/>
        <w:t xml:space="preserve">5. </w:t>
      </w:r>
      <w:r w:rsidRPr="00B33B2A">
        <w:rPr>
          <w:rFonts w:ascii="Arial" w:hAnsi="Arial" w:cs="Arial"/>
          <w:b/>
          <w:bCs/>
          <w:i/>
          <w:iCs/>
          <w:color w:val="242424"/>
        </w:rPr>
        <w:t>Очікувані кількісні показники:  </w:t>
      </w:r>
      <w:r w:rsidRPr="00A66233">
        <w:rPr>
          <w:rFonts w:ascii="Arial" w:hAnsi="Arial" w:cs="Arial"/>
          <w:b/>
          <w:bCs/>
          <w:iCs/>
          <w:color w:val="242424"/>
        </w:rPr>
        <w:t xml:space="preserve">Доступ та підтримка програмного забезпечення систем електронного документообігу </w:t>
      </w:r>
      <w:r w:rsidRPr="00225144">
        <w:rPr>
          <w:rFonts w:ascii="Arial" w:hAnsi="Arial" w:cs="Arial"/>
          <w:b/>
          <w:bCs/>
          <w:iCs/>
          <w:color w:val="242424"/>
        </w:rPr>
        <w:t>Код ДК 021:2015:</w:t>
      </w:r>
      <w:r w:rsidRPr="00B33B2A">
        <w:rPr>
          <w:rFonts w:ascii="Arial" w:hAnsi="Arial" w:cs="Arial"/>
          <w:bCs/>
          <w:i/>
          <w:iCs/>
          <w:color w:val="242424"/>
        </w:rPr>
        <w:t> </w:t>
      </w:r>
      <w:r w:rsidR="00565ABE" w:rsidRPr="00565ABE">
        <w:rPr>
          <w:rFonts w:ascii="Arial" w:hAnsi="Arial" w:cs="Arial"/>
          <w:b/>
          <w:color w:val="333333"/>
        </w:rPr>
        <w:t>72320000-4 - Послуги, пов’язані з базами даних</w:t>
      </w:r>
    </w:p>
    <w:p w:rsidR="00565ABE" w:rsidRDefault="00565ABE" w:rsidP="00565ABE">
      <w:pPr>
        <w:spacing w:after="0" w:line="240" w:lineRule="auto"/>
        <w:jc w:val="both"/>
        <w:rPr>
          <w:rFonts w:ascii="Arial" w:hAnsi="Arial" w:cs="Arial"/>
          <w:b/>
          <w:bCs/>
          <w:iCs/>
          <w:color w:val="242424"/>
        </w:rPr>
      </w:pPr>
      <w:r w:rsidRPr="00565ABE">
        <w:rPr>
          <w:rFonts w:ascii="Arial" w:hAnsi="Arial" w:cs="Arial"/>
          <w:b/>
          <w:bCs/>
          <w:iCs/>
          <w:color w:val="242424"/>
        </w:rPr>
        <w:t>Обслуговування розроб</w:t>
      </w:r>
      <w:r>
        <w:rPr>
          <w:rFonts w:ascii="Arial" w:hAnsi="Arial" w:cs="Arial"/>
          <w:b/>
          <w:bCs/>
          <w:iCs/>
          <w:color w:val="242424"/>
        </w:rPr>
        <w:t xml:space="preserve">леного програмного забезпечення 1 </w:t>
      </w:r>
      <w:r w:rsidRPr="00565ABE">
        <w:rPr>
          <w:rFonts w:ascii="Arial" w:hAnsi="Arial" w:cs="Arial"/>
          <w:b/>
          <w:bCs/>
          <w:iCs/>
          <w:color w:val="242424"/>
        </w:rPr>
        <w:t>послуга</w:t>
      </w:r>
      <w:r>
        <w:rPr>
          <w:rFonts w:ascii="Arial" w:hAnsi="Arial" w:cs="Arial"/>
          <w:b/>
          <w:bCs/>
          <w:iCs/>
          <w:color w:val="242424"/>
        </w:rPr>
        <w:t xml:space="preserve"> (15 робочих місць).</w:t>
      </w:r>
    </w:p>
    <w:p w:rsidR="00990446" w:rsidRPr="00565ABE" w:rsidRDefault="00990446" w:rsidP="00565ABE">
      <w:pPr>
        <w:spacing w:after="0" w:line="240" w:lineRule="auto"/>
        <w:jc w:val="both"/>
        <w:rPr>
          <w:rFonts w:ascii="Arial" w:hAnsi="Arial" w:cs="Arial"/>
          <w:b/>
          <w:bCs/>
          <w:iCs/>
          <w:color w:val="242424"/>
        </w:rPr>
      </w:pPr>
      <w:r w:rsidRPr="00B33B2A">
        <w:rPr>
          <w:rFonts w:ascii="Arial" w:hAnsi="Arial" w:cs="Arial"/>
          <w:b/>
          <w:bCs/>
          <w:i/>
          <w:iCs/>
          <w:color w:val="242424"/>
        </w:rPr>
        <w:t>6.       Очікува</w:t>
      </w:r>
      <w:r>
        <w:rPr>
          <w:rFonts w:ascii="Arial" w:hAnsi="Arial" w:cs="Arial"/>
          <w:b/>
          <w:bCs/>
          <w:i/>
          <w:iCs/>
          <w:color w:val="242424"/>
        </w:rPr>
        <w:t xml:space="preserve">на вартість предмета закупівлі: </w:t>
      </w:r>
      <w:r w:rsidR="00565ABE" w:rsidRPr="00565ABE">
        <w:rPr>
          <w:rFonts w:ascii="Arial" w:hAnsi="Arial" w:cs="Arial"/>
          <w:b/>
          <w:iCs/>
          <w:color w:val="242424"/>
          <w:lang w:val="ru-RU"/>
        </w:rPr>
        <w:t>299 993,76</w:t>
      </w:r>
      <w:r w:rsidR="00565ABE">
        <w:rPr>
          <w:rFonts w:ascii="Arial" w:hAnsi="Arial" w:cs="Arial"/>
          <w:b/>
          <w:iCs/>
          <w:color w:val="242424"/>
          <w:lang w:val="ru-RU"/>
        </w:rPr>
        <w:t xml:space="preserve"> </w:t>
      </w:r>
      <w:r w:rsidR="00A66233" w:rsidRPr="00A66233">
        <w:rPr>
          <w:rFonts w:ascii="Arial" w:hAnsi="Arial" w:cs="Arial"/>
          <w:b/>
          <w:iCs/>
          <w:color w:val="242424"/>
          <w:lang w:val="ru-RU"/>
        </w:rPr>
        <w:t xml:space="preserve">грн </w:t>
      </w:r>
      <w:r w:rsidRPr="00990446">
        <w:rPr>
          <w:rFonts w:ascii="Arial" w:hAnsi="Arial" w:cs="Arial"/>
          <w:b/>
          <w:iCs/>
          <w:color w:val="242424"/>
        </w:rPr>
        <w:t>з ПДВ.</w:t>
      </w:r>
      <w:r w:rsidRPr="00B33B2A">
        <w:rPr>
          <w:rFonts w:ascii="Arial" w:hAnsi="Arial" w:cs="Arial"/>
          <w:i/>
          <w:iCs/>
          <w:color w:val="242424"/>
        </w:rPr>
        <w:t> </w:t>
      </w:r>
    </w:p>
    <w:p w:rsidR="008B149D" w:rsidRDefault="008B149D" w:rsidP="006C25D7">
      <w:pPr>
        <w:spacing w:after="0" w:line="240" w:lineRule="auto"/>
      </w:pPr>
    </w:p>
    <w:sectPr w:rsidR="008B149D" w:rsidSect="006C25D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267AA4"/>
    <w:rsid w:val="00565ABE"/>
    <w:rsid w:val="006C25D7"/>
    <w:rsid w:val="008B149D"/>
    <w:rsid w:val="00990446"/>
    <w:rsid w:val="00A66233"/>
    <w:rsid w:val="00B64E6A"/>
    <w:rsid w:val="00C5018E"/>
    <w:rsid w:val="00C7746C"/>
    <w:rsid w:val="00EF3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ADA5"/>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B005-6698-4A2B-A559-6C9A1651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4815</Words>
  <Characters>2745</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7</cp:revision>
  <dcterms:created xsi:type="dcterms:W3CDTF">2025-01-13T08:38:00Z</dcterms:created>
  <dcterms:modified xsi:type="dcterms:W3CDTF">2025-03-14T12:11:00Z</dcterms:modified>
</cp:coreProperties>
</file>