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4913B" w14:textId="6A54EFBD" w:rsidR="00DA3967" w:rsidRDefault="00F51D42" w:rsidP="00DA3967">
      <w:pPr>
        <w:spacing w:after="0" w:line="240" w:lineRule="auto"/>
        <w:ind w:firstLine="567"/>
        <w:jc w:val="center"/>
        <w:rPr>
          <w:rFonts w:ascii="Times New Roman" w:hAnsi="Times New Roman"/>
          <w:b/>
          <w:i/>
          <w:sz w:val="28"/>
          <w:szCs w:val="28"/>
        </w:rPr>
      </w:pPr>
      <w:r w:rsidRPr="00F51D42">
        <w:rPr>
          <w:rFonts w:ascii="Times New Roman" w:hAnsi="Times New Roman"/>
          <w:b/>
          <w:i/>
          <w:sz w:val="28"/>
          <w:szCs w:val="28"/>
        </w:rPr>
        <w:t>https://prozorro.gov.ua/tender/</w:t>
      </w:r>
      <w:bookmarkStart w:id="0" w:name="_GoBack"/>
      <w:r w:rsidRPr="00F51D42">
        <w:rPr>
          <w:rFonts w:ascii="Times New Roman" w:hAnsi="Times New Roman"/>
          <w:b/>
          <w:i/>
          <w:sz w:val="28"/>
          <w:szCs w:val="28"/>
        </w:rPr>
        <w:t>UA-2025-05-07-014397-a</w:t>
      </w:r>
      <w:bookmarkEnd w:id="0"/>
    </w:p>
    <w:p w14:paraId="5AAE574B" w14:textId="16C1A061" w:rsidR="00301BC7" w:rsidRPr="00C36290" w:rsidRDefault="00F51D42" w:rsidP="00DA3967">
      <w:pPr>
        <w:spacing w:after="0" w:line="240" w:lineRule="auto"/>
        <w:ind w:firstLine="567"/>
        <w:jc w:val="center"/>
        <w:rPr>
          <w:rFonts w:ascii="Times New Roman" w:hAnsi="Times New Roman"/>
          <w:b/>
          <w:i/>
          <w:sz w:val="28"/>
          <w:szCs w:val="28"/>
        </w:rPr>
      </w:pPr>
      <w:r w:rsidRPr="00F51D42">
        <w:rPr>
          <w:rFonts w:ascii="Times New Roman" w:hAnsi="Times New Roman"/>
          <w:b/>
          <w:i/>
          <w:sz w:val="28"/>
          <w:szCs w:val="28"/>
        </w:rPr>
        <w:t>ДК 021:2015 (CPV) Оброблені фрукти та овочі (15330000-0) (смородина морожена, чорнослив без кісточок, родзинки без кісточок, сухофрукти (яблука, груші), вишня без кісточок морожена, гарбуз морожений, слива без кісточок морожена, полуниця морожена)</w:t>
      </w:r>
    </w:p>
    <w:p w14:paraId="75750CBD" w14:textId="4B337E59"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F51D42" w:rsidRPr="00F51D42">
        <w:rPr>
          <w:rFonts w:ascii="Times New Roman" w:hAnsi="Times New Roman" w:cs="Times New Roman"/>
        </w:rPr>
        <w:t>ДК 021:2015 (CPV) Оброблені фрукти та овочі (15330000-0) (смородина морожена, чорнослив без кісточок, родзинки без кісточок, сухофрукти (яблука, груші), вишня без кісточок морожена, гарбуз морожений, слива без кісточок морожена, полуниця морожена)</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CF57870"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F51D42" w:rsidRPr="00F51D42">
        <w:rPr>
          <w:rFonts w:ascii="Times New Roman" w:hAnsi="Times New Roman" w:cs="Times New Roman"/>
        </w:rPr>
        <w:t>ДК 021:2015 (CPV) Оброблені фрукти та овочі (15330000-0) (смородина морожена, чорнослив без кісточок, родзинки без кісточок, сухофрукти (яблука, груші), вишня без кісточок морожена, гарбуз морожений, слива без кісточок морожена, полуниця морожена)</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BB239AA"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F51D42">
        <w:rPr>
          <w:rFonts w:ascii="Times New Roman" w:hAnsi="Times New Roman" w:cs="Times New Roman"/>
        </w:rPr>
        <w:t>84 088,00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72B1E1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w:t>
      </w:r>
      <w:r w:rsidRPr="00C36290">
        <w:rPr>
          <w:rFonts w:ascii="Times New Roman" w:hAnsi="Times New Roman" w:cs="Times New Roman"/>
        </w:rPr>
        <w:lastRenderedPageBreak/>
        <w:t xml:space="preserve">погоджено Львівською міською радою згідно листа </w:t>
      </w:r>
      <w:r w:rsidR="00B25784" w:rsidRPr="00B25784">
        <w:rPr>
          <w:rFonts w:ascii="Times New Roman" w:hAnsi="Times New Roman" w:cs="Times New Roman"/>
        </w:rPr>
        <w:t>№4-2301-23772 від 02.05.2025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942E3"/>
    <w:rsid w:val="00BC1CA0"/>
    <w:rsid w:val="00BF6BFF"/>
    <w:rsid w:val="00C07553"/>
    <w:rsid w:val="00C36290"/>
    <w:rsid w:val="00C71BE4"/>
    <w:rsid w:val="00C863AE"/>
    <w:rsid w:val="00CA42A4"/>
    <w:rsid w:val="00CB29B7"/>
    <w:rsid w:val="00D15CC3"/>
    <w:rsid w:val="00D84356"/>
    <w:rsid w:val="00DA3967"/>
    <w:rsid w:val="00DB3C3A"/>
    <w:rsid w:val="00DB6229"/>
    <w:rsid w:val="00E24CBD"/>
    <w:rsid w:val="00EE1700"/>
    <w:rsid w:val="00EF5470"/>
    <w:rsid w:val="00F074E8"/>
    <w:rsid w:val="00F51D42"/>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2220798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purl.org/dc/terms/"/>
    <ds:schemaRef ds:uri="http://schemas.openxmlformats.org/package/2006/metadata/core-properties"/>
    <ds:schemaRef ds:uri="http://schemas.microsoft.com/office/2006/metadata/properties"/>
    <ds:schemaRef ds:uri="c8c76e99-bfbc-4ac6-b8a2-12a48c184727"/>
    <ds:schemaRef ds:uri="http://schemas.microsoft.com/office/2006/documentManagement/types"/>
    <ds:schemaRef ds:uri="http://purl.org/dc/elements/1.1/"/>
    <ds:schemaRef ds:uri="21a3cdd7-b7f5-4e00-b9e7-681cfd136ea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B668C-21B7-4F55-A003-EE786AD2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3502</Words>
  <Characters>1997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2025-05-08T08:03:00Z</dcterms:created>
  <dcterms:modified xsi:type="dcterms:W3CDTF">2025-05-08T08:03:00Z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