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315" w:rsidRPr="00EE1700" w:rsidRDefault="00776315" w:rsidP="00776315">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«Природний газ»</w:t>
      </w:r>
    </w:p>
    <w:p w:rsidR="00776315" w:rsidRPr="00EE1700" w:rsidRDefault="00776315" w:rsidP="00776315">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ДК 021:2015 09120000-6 Газове паливо</w:t>
      </w:r>
    </w:p>
    <w:p w:rsidR="00776315" w:rsidRPr="00EE1700" w:rsidRDefault="00776315" w:rsidP="00776315">
      <w:pPr>
        <w:spacing w:after="0" w:line="240" w:lineRule="auto"/>
        <w:ind w:firstLine="567"/>
        <w:jc w:val="center"/>
        <w:rPr>
          <w:rFonts w:ascii="Times New Roman" w:hAnsi="Times New Roman"/>
          <w:b/>
          <w:i/>
          <w:sz w:val="28"/>
          <w:szCs w:val="28"/>
        </w:rPr>
      </w:pPr>
    </w:p>
    <w:p w:rsidR="00776315" w:rsidRDefault="00776315" w:rsidP="00776315">
      <w:pPr>
        <w:spacing w:after="0" w:line="240" w:lineRule="auto"/>
        <w:ind w:firstLine="567"/>
        <w:jc w:val="center"/>
        <w:rPr>
          <w:rFonts w:ascii="Times New Roman" w:hAnsi="Times New Roman"/>
          <w:b/>
          <w:i/>
          <w:sz w:val="28"/>
          <w:szCs w:val="28"/>
        </w:rPr>
      </w:pPr>
      <w:r w:rsidRPr="00EE1700">
        <w:rPr>
          <w:rFonts w:ascii="Times New Roman" w:hAnsi="Times New Roman"/>
          <w:b/>
          <w:i/>
          <w:sz w:val="28"/>
          <w:szCs w:val="28"/>
        </w:rPr>
        <w:t>Номенклатура: 09123000-7 Природний газ</w:t>
      </w:r>
    </w:p>
    <w:p w:rsidR="00776315" w:rsidRPr="00B16C66" w:rsidRDefault="00776315" w:rsidP="00776315">
      <w:pPr>
        <w:spacing w:after="0" w:line="240" w:lineRule="auto"/>
        <w:ind w:firstLine="567"/>
        <w:jc w:val="center"/>
        <w:rPr>
          <w:rFonts w:ascii="Times New Roman" w:hAnsi="Times New Roman" w:cs="Times New Roman"/>
          <w:b/>
        </w:rPr>
      </w:pPr>
    </w:p>
    <w:p w:rsidR="00776315" w:rsidRDefault="00776315" w:rsidP="00776315">
      <w:pPr>
        <w:spacing w:after="0" w:line="240" w:lineRule="auto"/>
        <w:ind w:firstLine="567"/>
        <w:jc w:val="center"/>
        <w:rPr>
          <w:rFonts w:ascii="Times New Roman" w:hAnsi="Times New Roman" w:cs="Times New Roman"/>
          <w:b/>
        </w:rPr>
      </w:pPr>
    </w:p>
    <w:p w:rsidR="00776315" w:rsidRDefault="00776315" w:rsidP="00776315">
      <w:pPr>
        <w:spacing w:after="0" w:line="240" w:lineRule="auto"/>
        <w:ind w:firstLine="567"/>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xml:space="preserve">» у зв’язку із необхідністю проведення закупівлі «Природний газ» </w:t>
      </w:r>
      <w:r w:rsidRPr="00EE1700">
        <w:rPr>
          <w:rFonts w:ascii="Times New Roman" w:hAnsi="Times New Roman" w:cs="Times New Roman"/>
        </w:rPr>
        <w:t xml:space="preserve">ДК 021:2015 09120000-6 Газове паливо для потреб </w:t>
      </w:r>
      <w:r>
        <w:rPr>
          <w:rFonts w:ascii="Times New Roman" w:hAnsi="Times New Roman" w:cs="Times New Roman"/>
        </w:rPr>
        <w:t xml:space="preserve">Львівської музичної школи №3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rsidR="00776315" w:rsidRDefault="00776315" w:rsidP="00776315">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rsidR="00776315" w:rsidRDefault="00776315" w:rsidP="00776315">
      <w:pPr>
        <w:spacing w:after="0" w:line="240" w:lineRule="auto"/>
        <w:jc w:val="both"/>
        <w:rPr>
          <w:rFonts w:ascii="Times New Roman" w:hAnsi="Times New Roman" w:cs="Times New Roman"/>
        </w:rPr>
      </w:pPr>
      <w:r w:rsidRPr="00B33343">
        <w:rPr>
          <w:rFonts w:ascii="Times New Roman" w:hAnsi="Times New Roman" w:cs="Times New Roman"/>
        </w:rPr>
        <w:t xml:space="preserve">- </w:t>
      </w:r>
      <w:r w:rsidRPr="00EE1700">
        <w:rPr>
          <w:rFonts w:ascii="Times New Roman" w:hAnsi="Times New Roman" w:cs="Times New Roman"/>
        </w:rPr>
        <w:t>«Природний газ» ДК 021:2015 09120000-6 Газове паливо</w:t>
      </w:r>
    </w:p>
    <w:p w:rsidR="00776315" w:rsidRPr="00041F96" w:rsidRDefault="00776315" w:rsidP="00776315">
      <w:pPr>
        <w:spacing w:after="0" w:line="240" w:lineRule="auto"/>
        <w:jc w:val="both"/>
        <w:rPr>
          <w:rFonts w:ascii="Times New Roman" w:hAnsi="Times New Roman" w:cs="Times New Roman"/>
          <w:b/>
          <w:i/>
        </w:rPr>
      </w:pPr>
      <w:r>
        <w:rPr>
          <w:rFonts w:ascii="Times New Roman" w:hAnsi="Times New Roman" w:cs="Times New Roman"/>
          <w:b/>
          <w:i/>
        </w:rPr>
        <w:t>2. О</w:t>
      </w:r>
      <w:r w:rsidRPr="00B33343">
        <w:rPr>
          <w:rFonts w:ascii="Times New Roman" w:hAnsi="Times New Roman" w:cs="Times New Roman"/>
          <w:b/>
          <w:i/>
        </w:rPr>
        <w:t>бґрунтування технічних та якісних характеристик предмета закупівлі</w:t>
      </w:r>
      <w:r>
        <w:rPr>
          <w:rFonts w:ascii="Times New Roman" w:hAnsi="Times New Roman" w:cs="Times New Roman"/>
          <w:b/>
          <w:i/>
        </w:rPr>
        <w:t>:</w:t>
      </w:r>
    </w:p>
    <w:p w:rsidR="00776315" w:rsidRPr="007732E7" w:rsidRDefault="00776315" w:rsidP="00776315">
      <w:pPr>
        <w:shd w:val="clear" w:color="auto" w:fill="FFFFFF"/>
        <w:spacing w:after="0" w:line="240" w:lineRule="auto"/>
        <w:ind w:firstLine="567"/>
        <w:contextualSpacing/>
        <w:jc w:val="both"/>
        <w:rPr>
          <w:rFonts w:ascii="Times New Roman" w:eastAsia="Times New Roman" w:hAnsi="Times New Roman" w:cs="Times New Roman"/>
          <w:lang w:eastAsia="ru-RU"/>
        </w:rPr>
      </w:pPr>
      <w:r w:rsidRPr="007732E7">
        <w:rPr>
          <w:rFonts w:ascii="Times New Roman" w:eastAsia="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776315" w:rsidRDefault="00776315" w:rsidP="00776315">
      <w:pPr>
        <w:autoSpaceDE w:val="0"/>
        <w:autoSpaceDN w:val="0"/>
        <w:adjustRightInd w:val="0"/>
        <w:spacing w:after="0" w:line="240" w:lineRule="auto"/>
        <w:ind w:left="284" w:right="23"/>
        <w:jc w:val="center"/>
        <w:rPr>
          <w:rFonts w:ascii="Times New Roman" w:hAnsi="Times New Roman"/>
          <w:b/>
          <w:color w:val="000000"/>
          <w:kern w:val="1"/>
          <w:sz w:val="24"/>
          <w:szCs w:val="24"/>
          <w:lang w:eastAsia="ar-SA"/>
        </w:rPr>
      </w:pPr>
      <w:r w:rsidRPr="007F2214">
        <w:rPr>
          <w:rFonts w:ascii="Times New Roman" w:hAnsi="Times New Roman"/>
          <w:b/>
          <w:color w:val="000000"/>
          <w:kern w:val="1"/>
          <w:sz w:val="24"/>
          <w:szCs w:val="24"/>
          <w:lang w:eastAsia="ar-SA"/>
        </w:rPr>
        <w:t>ТЕХНІЧНА СПЕЦИФІКАЦІЯ (ЗАВДАННЯ)</w:t>
      </w:r>
    </w:p>
    <w:tbl>
      <w:tblPr>
        <w:tblStyle w:val="a4"/>
        <w:tblW w:w="9781" w:type="dxa"/>
        <w:tblInd w:w="-34" w:type="dxa"/>
        <w:tblLook w:val="04A0" w:firstRow="1" w:lastRow="0" w:firstColumn="1" w:lastColumn="0" w:noHBand="0" w:noVBand="1"/>
      </w:tblPr>
      <w:tblGrid>
        <w:gridCol w:w="2835"/>
        <w:gridCol w:w="1227"/>
        <w:gridCol w:w="1325"/>
        <w:gridCol w:w="1843"/>
        <w:gridCol w:w="2551"/>
      </w:tblGrid>
      <w:tr w:rsidR="00776315" w:rsidRPr="00213C50" w:rsidTr="005056E0">
        <w:tc>
          <w:tcPr>
            <w:tcW w:w="2835"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Найменування предмета закупівлі</w:t>
            </w:r>
          </w:p>
        </w:tc>
        <w:tc>
          <w:tcPr>
            <w:tcW w:w="1227"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Одиниця виміру</w:t>
            </w:r>
          </w:p>
        </w:tc>
        <w:tc>
          <w:tcPr>
            <w:tcW w:w="1325"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Кількість</w:t>
            </w:r>
          </w:p>
        </w:tc>
        <w:tc>
          <w:tcPr>
            <w:tcW w:w="1843"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Строк поставки</w:t>
            </w:r>
          </w:p>
        </w:tc>
        <w:tc>
          <w:tcPr>
            <w:tcW w:w="2551" w:type="dxa"/>
            <w:shd w:val="clear" w:color="auto" w:fill="E7E6E6" w:themeFill="background2"/>
          </w:tcPr>
          <w:p w:rsidR="00776315" w:rsidRPr="00213C50" w:rsidRDefault="00776315" w:rsidP="005056E0">
            <w:pPr>
              <w:autoSpaceDE w:val="0"/>
              <w:autoSpaceDN w:val="0"/>
              <w:adjustRightInd w:val="0"/>
              <w:ind w:right="23"/>
              <w:jc w:val="center"/>
              <w:rPr>
                <w:rFonts w:ascii="Times New Roman" w:hAnsi="Times New Roman"/>
                <w:b/>
                <w:color w:val="000000"/>
                <w:kern w:val="1"/>
                <w:lang w:eastAsia="ar-SA"/>
              </w:rPr>
            </w:pPr>
            <w:r w:rsidRPr="00213C50">
              <w:rPr>
                <w:rFonts w:ascii="Times New Roman" w:hAnsi="Times New Roman"/>
                <w:b/>
                <w:color w:val="000000"/>
                <w:kern w:val="1"/>
                <w:lang w:eastAsia="ar-SA"/>
              </w:rPr>
              <w:t>Місце поставки</w:t>
            </w:r>
          </w:p>
        </w:tc>
      </w:tr>
      <w:tr w:rsidR="00776315" w:rsidRPr="00213C50" w:rsidTr="005056E0">
        <w:tc>
          <w:tcPr>
            <w:tcW w:w="2835" w:type="dxa"/>
          </w:tcPr>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«Природний газ»</w:t>
            </w: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ДК 021:2015 09120000-6 Газове паливо</w:t>
            </w: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olor w:val="000000"/>
                <w:kern w:val="1"/>
                <w:lang w:eastAsia="ar-SA"/>
              </w:rPr>
              <w:t>Номенклатура: 09123000-7 Природний газ</w:t>
            </w:r>
          </w:p>
        </w:tc>
        <w:tc>
          <w:tcPr>
            <w:tcW w:w="1227" w:type="dxa"/>
          </w:tcPr>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r w:rsidRPr="00213C50">
              <w:rPr>
                <w:rFonts w:ascii="Times New Roman" w:hAnsi="Times New Roman" w:cs="Times New Roman"/>
                <w:color w:val="000000"/>
                <w:kern w:val="3"/>
                <w:lang w:eastAsia="ar-SA"/>
              </w:rPr>
              <w:t>м</w:t>
            </w:r>
            <w:r w:rsidRPr="00213C50">
              <w:rPr>
                <w:rFonts w:ascii="Times New Roman" w:hAnsi="Times New Roman" w:cs="Times New Roman"/>
                <w:color w:val="000000"/>
                <w:kern w:val="3"/>
                <w:vertAlign w:val="superscript"/>
                <w:lang w:eastAsia="ar-SA"/>
              </w:rPr>
              <w:t>3</w:t>
            </w:r>
          </w:p>
        </w:tc>
        <w:tc>
          <w:tcPr>
            <w:tcW w:w="1325" w:type="dxa"/>
          </w:tcPr>
          <w:p w:rsidR="00776315" w:rsidRPr="00305447" w:rsidRDefault="00776315" w:rsidP="005056E0">
            <w:pPr>
              <w:autoSpaceDE w:val="0"/>
              <w:autoSpaceDN w:val="0"/>
              <w:adjustRightInd w:val="0"/>
              <w:ind w:right="23"/>
              <w:jc w:val="center"/>
              <w:rPr>
                <w:rFonts w:ascii="Times New Roman" w:hAnsi="Times New Roman"/>
                <w:color w:val="000000"/>
                <w:kern w:val="1"/>
                <w:highlight w:val="yellow"/>
                <w:lang w:eastAsia="ar-SA"/>
              </w:rPr>
            </w:pPr>
          </w:p>
          <w:p w:rsidR="00776315" w:rsidRPr="00305447" w:rsidRDefault="00776315" w:rsidP="005056E0">
            <w:pPr>
              <w:autoSpaceDE w:val="0"/>
              <w:autoSpaceDN w:val="0"/>
              <w:adjustRightInd w:val="0"/>
              <w:ind w:right="23"/>
              <w:jc w:val="center"/>
              <w:rPr>
                <w:rFonts w:ascii="Times New Roman" w:hAnsi="Times New Roman"/>
                <w:color w:val="000000"/>
                <w:kern w:val="1"/>
                <w:highlight w:val="yellow"/>
                <w:lang w:eastAsia="ar-SA"/>
              </w:rPr>
            </w:pPr>
          </w:p>
          <w:p w:rsidR="00776315" w:rsidRPr="00305447" w:rsidRDefault="00D47EB3" w:rsidP="005056E0">
            <w:pPr>
              <w:autoSpaceDE w:val="0"/>
              <w:autoSpaceDN w:val="0"/>
              <w:adjustRightInd w:val="0"/>
              <w:ind w:right="23"/>
              <w:jc w:val="center"/>
              <w:rPr>
                <w:rFonts w:ascii="Times New Roman" w:hAnsi="Times New Roman"/>
                <w:color w:val="000000"/>
                <w:kern w:val="1"/>
                <w:highlight w:val="yellow"/>
                <w:lang w:eastAsia="ar-SA"/>
              </w:rPr>
            </w:pPr>
            <w:r>
              <w:rPr>
                <w:rFonts w:ascii="Times New Roman" w:hAnsi="Times New Roman"/>
                <w:color w:val="000000"/>
                <w:kern w:val="1"/>
                <w:lang w:eastAsia="ar-SA"/>
              </w:rPr>
              <w:t>5400</w:t>
            </w:r>
          </w:p>
        </w:tc>
        <w:tc>
          <w:tcPr>
            <w:tcW w:w="1843" w:type="dxa"/>
          </w:tcPr>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D47EB3" w:rsidP="005056E0">
            <w:pPr>
              <w:autoSpaceDE w:val="0"/>
              <w:autoSpaceDN w:val="0"/>
              <w:adjustRightInd w:val="0"/>
              <w:ind w:right="23"/>
              <w:jc w:val="center"/>
              <w:rPr>
                <w:rFonts w:ascii="Times New Roman" w:hAnsi="Times New Roman"/>
                <w:color w:val="000000"/>
                <w:kern w:val="1"/>
                <w:lang w:eastAsia="ar-SA"/>
              </w:rPr>
            </w:pPr>
            <w:r>
              <w:rPr>
                <w:rFonts w:ascii="Times New Roman" w:hAnsi="Times New Roman"/>
                <w:color w:val="000000"/>
                <w:kern w:val="1"/>
                <w:lang w:eastAsia="ar-SA"/>
              </w:rPr>
              <w:t>з 15 жовтня 2025 року до 31 грудня</w:t>
            </w:r>
            <w:r w:rsidR="00776315" w:rsidRPr="00213C50">
              <w:rPr>
                <w:rFonts w:ascii="Times New Roman" w:hAnsi="Times New Roman"/>
                <w:color w:val="000000"/>
                <w:kern w:val="1"/>
                <w:lang w:eastAsia="ar-SA"/>
              </w:rPr>
              <w:t xml:space="preserve"> </w:t>
            </w:r>
            <w:r>
              <w:rPr>
                <w:rFonts w:ascii="Times New Roman" w:hAnsi="Times New Roman"/>
                <w:color w:val="000000"/>
                <w:kern w:val="1"/>
                <w:lang w:eastAsia="ar-SA"/>
              </w:rPr>
              <w:t>2025</w:t>
            </w:r>
            <w:r w:rsidR="00776315" w:rsidRPr="00213C50">
              <w:rPr>
                <w:rFonts w:ascii="Times New Roman" w:hAnsi="Times New Roman"/>
                <w:color w:val="000000"/>
                <w:kern w:val="1"/>
                <w:lang w:eastAsia="ar-SA"/>
              </w:rPr>
              <w:t xml:space="preserve"> року включно</w:t>
            </w:r>
          </w:p>
        </w:tc>
        <w:tc>
          <w:tcPr>
            <w:tcW w:w="2551" w:type="dxa"/>
          </w:tcPr>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p w:rsidR="00776315" w:rsidRDefault="00776315" w:rsidP="005056E0">
            <w:pPr>
              <w:autoSpaceDE w:val="0"/>
              <w:autoSpaceDN w:val="0"/>
              <w:adjustRightInd w:val="0"/>
              <w:ind w:right="23"/>
              <w:jc w:val="center"/>
              <w:rPr>
                <w:rFonts w:ascii="Times New Roman" w:hAnsi="Times New Roman"/>
                <w:color w:val="000000"/>
                <w:kern w:val="1"/>
                <w:lang w:eastAsia="ar-SA"/>
              </w:rPr>
            </w:pPr>
            <w:r w:rsidRPr="00305447">
              <w:rPr>
                <w:rFonts w:ascii="Times New Roman" w:hAnsi="Times New Roman"/>
                <w:color w:val="000000"/>
                <w:kern w:val="1"/>
                <w:lang w:eastAsia="ar-SA"/>
              </w:rPr>
              <w:t xml:space="preserve">м. Львів, </w:t>
            </w:r>
            <w:proofErr w:type="spellStart"/>
            <w:r w:rsidRPr="00305447">
              <w:rPr>
                <w:rFonts w:ascii="Times New Roman" w:hAnsi="Times New Roman"/>
                <w:color w:val="000000"/>
                <w:kern w:val="1"/>
                <w:lang w:eastAsia="ar-SA"/>
              </w:rPr>
              <w:t>вул.</w:t>
            </w:r>
            <w:r>
              <w:rPr>
                <w:rFonts w:ascii="Times New Roman" w:hAnsi="Times New Roman"/>
                <w:color w:val="000000"/>
                <w:kern w:val="1"/>
                <w:lang w:eastAsia="ar-SA"/>
              </w:rPr>
              <w:t>Замарстинівська</w:t>
            </w:r>
            <w:proofErr w:type="spellEnd"/>
            <w:r>
              <w:rPr>
                <w:rFonts w:ascii="Times New Roman" w:hAnsi="Times New Roman"/>
                <w:color w:val="000000"/>
                <w:kern w:val="1"/>
                <w:lang w:eastAsia="ar-SA"/>
              </w:rPr>
              <w:t>, 219</w:t>
            </w:r>
          </w:p>
          <w:p w:rsidR="00776315" w:rsidRPr="00213C50" w:rsidRDefault="00776315" w:rsidP="005056E0">
            <w:pPr>
              <w:autoSpaceDE w:val="0"/>
              <w:autoSpaceDN w:val="0"/>
              <w:adjustRightInd w:val="0"/>
              <w:ind w:right="23"/>
              <w:jc w:val="center"/>
              <w:rPr>
                <w:rFonts w:ascii="Times New Roman" w:hAnsi="Times New Roman"/>
                <w:color w:val="000000"/>
                <w:kern w:val="1"/>
                <w:lang w:eastAsia="ar-SA"/>
              </w:rPr>
            </w:pPr>
          </w:p>
        </w:tc>
      </w:tr>
    </w:tbl>
    <w:p w:rsidR="00776315" w:rsidRPr="00213C50" w:rsidRDefault="00776315" w:rsidP="00776315">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Ціна товару (природного газу) встановлюється учасником у відповідності до вимог Закону України «Про ринок природного газу», зокрема повинна враховувати усі витрати на постачання, в тому числі і за транспортування природного газу, з урахуванням усіх платежів, які можуть бути понесені учасником у ході виконання договору про закупівлю. Учасник НЕ ВКЛЮЧАЄ до вартості тендерної пропозиції вартість послуг з розподілу природного газу.</w:t>
      </w:r>
    </w:p>
    <w:p w:rsidR="00776315" w:rsidRPr="00213C50" w:rsidRDefault="00776315" w:rsidP="00776315">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 xml:space="preserve">За розрахункову одиницю газу приймається один метр кубічний (м3), приведений до стандартних умов: температура (t) 293,18 К (20оС), тиск газу (Р) 101,325 кПа (760 мм </w:t>
      </w:r>
      <w:proofErr w:type="spellStart"/>
      <w:r w:rsidRPr="00213C50">
        <w:rPr>
          <w:rFonts w:ascii="Times New Roman" w:hAnsi="Times New Roman"/>
          <w:color w:val="000000"/>
          <w:kern w:val="1"/>
          <w:lang w:eastAsia="ar-SA"/>
        </w:rPr>
        <w:t>рт</w:t>
      </w:r>
      <w:proofErr w:type="spellEnd"/>
      <w:r w:rsidRPr="00213C50">
        <w:rPr>
          <w:rFonts w:ascii="Times New Roman" w:hAnsi="Times New Roman"/>
          <w:color w:val="000000"/>
          <w:kern w:val="1"/>
          <w:lang w:eastAsia="ar-SA"/>
        </w:rPr>
        <w:t>. ст.).</w:t>
      </w:r>
    </w:p>
    <w:p w:rsidR="00776315" w:rsidRPr="00213C50" w:rsidRDefault="00776315" w:rsidP="00776315">
      <w:pPr>
        <w:autoSpaceDE w:val="0"/>
        <w:autoSpaceDN w:val="0"/>
        <w:adjustRightInd w:val="0"/>
        <w:spacing w:after="0" w:line="240" w:lineRule="auto"/>
        <w:ind w:left="-142" w:right="23" w:firstLine="709"/>
        <w:jc w:val="both"/>
        <w:rPr>
          <w:rFonts w:ascii="Times New Roman" w:hAnsi="Times New Roman"/>
          <w:color w:val="000000"/>
          <w:kern w:val="1"/>
          <w:lang w:eastAsia="ar-SA"/>
        </w:rPr>
      </w:pPr>
      <w:r w:rsidRPr="00213C50">
        <w:rPr>
          <w:rFonts w:ascii="Times New Roman" w:hAnsi="Times New Roman"/>
          <w:color w:val="000000"/>
          <w:kern w:val="1"/>
          <w:lang w:eastAsia="ar-SA"/>
        </w:rPr>
        <w:t>Фізико-хімічні показники газу природного, який постачається Замовнику, повинні відповідати вимогам, визначеним розділом ІІІ Кодексу газорозподільних систем та Кодексу газотранспортної системи. Якість Газу, що передається Замовнику, має відповідати вимогам встановленим державними стандартами, технічними умовами, нормативно-технічними документами щодо його якості, зокрема вимогам ДСТУ 5542-87 (ГОСТ 5542-87).</w:t>
      </w:r>
    </w:p>
    <w:p w:rsidR="00776315" w:rsidRDefault="00776315" w:rsidP="00776315">
      <w:pPr>
        <w:spacing w:after="0" w:line="240" w:lineRule="auto"/>
        <w:jc w:val="both"/>
        <w:rPr>
          <w:rFonts w:ascii="Times New Roman" w:hAnsi="Times New Roman" w:cs="Times New Roman"/>
          <w:b/>
          <w:i/>
        </w:rPr>
      </w:pPr>
      <w:r>
        <w:rPr>
          <w:rFonts w:ascii="Times New Roman" w:hAnsi="Times New Roman" w:cs="Times New Roman"/>
          <w:b/>
          <w:i/>
        </w:rPr>
        <w:t>3. Очікувана вартість</w:t>
      </w:r>
      <w:r w:rsidRPr="009F4FD2">
        <w:rPr>
          <w:rFonts w:ascii="Times New Roman" w:hAnsi="Times New Roman" w:cs="Times New Roman"/>
          <w:b/>
          <w:i/>
        </w:rPr>
        <w:t xml:space="preserve"> та/або розмір бюджетного призначення</w:t>
      </w:r>
      <w:r>
        <w:rPr>
          <w:rFonts w:ascii="Times New Roman" w:hAnsi="Times New Roman" w:cs="Times New Roman"/>
          <w:b/>
          <w:i/>
        </w:rPr>
        <w:t>:</w:t>
      </w:r>
    </w:p>
    <w:p w:rsidR="00776315" w:rsidRDefault="00776315" w:rsidP="00776315">
      <w:pPr>
        <w:spacing w:after="0" w:line="240" w:lineRule="auto"/>
        <w:jc w:val="both"/>
        <w:rPr>
          <w:rFonts w:ascii="Times New Roman" w:hAnsi="Times New Roman" w:cs="Times New Roman"/>
        </w:rPr>
      </w:pPr>
      <w:r w:rsidRPr="00C07553">
        <w:rPr>
          <w:rFonts w:ascii="Times New Roman" w:hAnsi="Times New Roman" w:cs="Times New Roman"/>
        </w:rPr>
        <w:t xml:space="preserve">- Очікувана вартість закупівлі становить </w:t>
      </w:r>
      <w:r>
        <w:rPr>
          <w:rFonts w:ascii="Times New Roman" w:hAnsi="Times New Roman" w:cs="Times New Roman"/>
        </w:rPr>
        <w:t>–</w:t>
      </w:r>
      <w:r w:rsidRPr="00C07553">
        <w:rPr>
          <w:rFonts w:ascii="Times New Roman" w:hAnsi="Times New Roman" w:cs="Times New Roman"/>
        </w:rPr>
        <w:t xml:space="preserve"> </w:t>
      </w:r>
      <w:r w:rsidR="00D47EB3">
        <w:rPr>
          <w:rFonts w:ascii="Times New Roman" w:hAnsi="Times New Roman" w:cs="Times New Roman"/>
        </w:rPr>
        <w:t>92084,04</w:t>
      </w:r>
      <w:r w:rsidRPr="00305447">
        <w:rPr>
          <w:rFonts w:ascii="Times New Roman" w:hAnsi="Times New Roman" w:cs="Times New Roman"/>
        </w:rPr>
        <w:t xml:space="preserve"> грн.</w:t>
      </w:r>
      <w:r w:rsidRPr="006A2D19">
        <w:rPr>
          <w:rFonts w:ascii="Times New Roman" w:hAnsi="Times New Roman" w:cs="Times New Roman"/>
        </w:rPr>
        <w:t xml:space="preserve"> з ПДВ</w:t>
      </w:r>
      <w:r>
        <w:rPr>
          <w:rFonts w:ascii="Times New Roman" w:hAnsi="Times New Roman" w:cs="Times New Roman"/>
        </w:rPr>
        <w:t>.</w:t>
      </w:r>
    </w:p>
    <w:p w:rsidR="00776315" w:rsidRDefault="00776315" w:rsidP="00776315">
      <w:pPr>
        <w:spacing w:after="0" w:line="240" w:lineRule="auto"/>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враховував </w:t>
      </w:r>
      <w:r w:rsidRPr="00F074E8">
        <w:rPr>
          <w:rFonts w:ascii="Times New Roman" w:hAnsi="Times New Roman" w:cs="Times New Roman"/>
        </w:rPr>
        <w:t xml:space="preserve">методи визначення очікуваної </w:t>
      </w:r>
      <w:r>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Pr>
          <w:rFonts w:ascii="Times New Roman" w:hAnsi="Times New Roman" w:cs="Times New Roman"/>
        </w:rPr>
        <w:t>і</w:t>
      </w:r>
      <w:r w:rsidRPr="00F074E8">
        <w:rPr>
          <w:rFonts w:ascii="Times New Roman" w:hAnsi="Times New Roman" w:cs="Times New Roman"/>
        </w:rPr>
        <w:t xml:space="preserve"> </w:t>
      </w:r>
      <w:r>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Pr>
          <w:rFonts w:ascii="Times New Roman" w:hAnsi="Times New Roman" w:cs="Times New Roman"/>
        </w:rPr>
        <w:t xml:space="preserve"> з урахуванням положень </w:t>
      </w:r>
      <w:r w:rsidRPr="00213C50">
        <w:rPr>
          <w:rFonts w:ascii="Times New Roman" w:hAnsi="Times New Roman" w:cs="Times New Roman"/>
        </w:rPr>
        <w:t>Постанов</w:t>
      </w:r>
      <w:r>
        <w:rPr>
          <w:rFonts w:ascii="Times New Roman" w:hAnsi="Times New Roman" w:cs="Times New Roman"/>
        </w:rPr>
        <w:t>и</w:t>
      </w:r>
      <w:r w:rsidRPr="00213C50">
        <w:rPr>
          <w:rFonts w:ascii="Times New Roman" w:hAnsi="Times New Roman" w:cs="Times New Roman"/>
        </w:rPr>
        <w:t xml:space="preserve">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енергії та бюджетним установам».</w:t>
      </w:r>
    </w:p>
    <w:p w:rsidR="00776315" w:rsidRDefault="00776315" w:rsidP="00776315">
      <w:pPr>
        <w:spacing w:after="0" w:line="240" w:lineRule="auto"/>
        <w:jc w:val="both"/>
        <w:rPr>
          <w:rFonts w:ascii="Times New Roman" w:hAnsi="Times New Roman" w:cs="Times New Roman"/>
        </w:rPr>
      </w:pPr>
      <w:r>
        <w:rPr>
          <w:rFonts w:ascii="Times New Roman" w:hAnsi="Times New Roman" w:cs="Times New Roman"/>
        </w:rPr>
        <w:t xml:space="preserve">Відтак, згідно п.6 Положення </w:t>
      </w:r>
      <w:r w:rsidRPr="00213C50">
        <w:rPr>
          <w:rFonts w:ascii="Times New Roman" w:hAnsi="Times New Roman" w:cs="Times New Roman"/>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w:t>
      </w:r>
      <w:r>
        <w:rPr>
          <w:rFonts w:ascii="Times New Roman" w:hAnsi="Times New Roman" w:cs="Times New Roman"/>
        </w:rPr>
        <w:t xml:space="preserve">енергії та бюджетним установам встановлено ціну постачання природного газу, що становить </w:t>
      </w:r>
      <w:r w:rsidRPr="00556ABA">
        <w:rPr>
          <w:rFonts w:ascii="Times New Roman" w:hAnsi="Times New Roman" w:cs="Times New Roman"/>
        </w:rPr>
        <w:t>16390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ascii="Times New Roman" w:hAnsi="Times New Roman" w:cs="Times New Roman"/>
        </w:rPr>
        <w:t xml:space="preserve">. Відповідно до </w:t>
      </w:r>
      <w:r w:rsidRPr="00C863AE">
        <w:rPr>
          <w:rFonts w:ascii="Times New Roman" w:hAnsi="Times New Roman" w:cs="Times New Roman"/>
        </w:rPr>
        <w:t>Постанов</w:t>
      </w:r>
      <w:r>
        <w:rPr>
          <w:rFonts w:ascii="Times New Roman" w:hAnsi="Times New Roman" w:cs="Times New Roman"/>
        </w:rPr>
        <w:t>и</w:t>
      </w:r>
      <w:r w:rsidRPr="00C863AE">
        <w:rPr>
          <w:rFonts w:ascii="Times New Roman" w:hAnsi="Times New Roman" w:cs="Times New Roman"/>
        </w:rPr>
        <w:t xml:space="preserve">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2020-2024 роки»</w:t>
      </w:r>
      <w:r>
        <w:rPr>
          <w:rFonts w:ascii="Times New Roman" w:hAnsi="Times New Roman" w:cs="Times New Roman"/>
        </w:rPr>
        <w:t xml:space="preserve"> (</w:t>
      </w:r>
      <w:hyperlink r:id="rId5" w:anchor="Text" w:history="1">
        <w:r w:rsidRPr="001C0B4A">
          <w:rPr>
            <w:rStyle w:val="a3"/>
            <w:rFonts w:ascii="Times New Roman" w:hAnsi="Times New Roman" w:cs="Times New Roman"/>
          </w:rPr>
          <w:t>https://zakon.rada.gov.ua/laws/show/812-2022-%D0%BF#Text</w:t>
        </w:r>
      </w:hyperlink>
      <w:r>
        <w:rPr>
          <w:rFonts w:ascii="Times New Roman" w:hAnsi="Times New Roman" w:cs="Times New Roman"/>
        </w:rPr>
        <w:t xml:space="preserve">) встановлено </w:t>
      </w:r>
      <w:r w:rsidRPr="00C863AE">
        <w:rPr>
          <w:rFonts w:ascii="Times New Roman" w:hAnsi="Times New Roman" w:cs="Times New Roman"/>
        </w:rPr>
        <w:t>для точки виходу</w:t>
      </w:r>
      <w:r>
        <w:rPr>
          <w:rFonts w:ascii="Times New Roman" w:hAnsi="Times New Roman" w:cs="Times New Roman"/>
        </w:rPr>
        <w:t xml:space="preserve"> та </w:t>
      </w:r>
      <w:r w:rsidRPr="00C863AE">
        <w:rPr>
          <w:rFonts w:ascii="Times New Roman" w:hAnsi="Times New Roman" w:cs="Times New Roman"/>
        </w:rPr>
        <w:t xml:space="preserve">Коефіцієнти, які враховують період замовлення </w:t>
      </w:r>
      <w:r w:rsidRPr="00C863AE">
        <w:rPr>
          <w:rFonts w:ascii="Times New Roman" w:hAnsi="Times New Roman" w:cs="Times New Roman"/>
        </w:rPr>
        <w:lastRenderedPageBreak/>
        <w:t>потужності, що застосовуються до тарифів на послуги транспортування природного газу для внутрішніх точок входу і точок виходу в/з газотранспортну(</w:t>
      </w:r>
      <w:proofErr w:type="spellStart"/>
      <w:r w:rsidRPr="00C863AE">
        <w:rPr>
          <w:rFonts w:ascii="Times New Roman" w:hAnsi="Times New Roman" w:cs="Times New Roman"/>
        </w:rPr>
        <w:t>ої</w:t>
      </w:r>
      <w:proofErr w:type="spellEnd"/>
      <w:r w:rsidRPr="00C863AE">
        <w:rPr>
          <w:rFonts w:ascii="Times New Roman" w:hAnsi="Times New Roman" w:cs="Times New Roman"/>
        </w:rPr>
        <w:t>) систему(и) на регуляторний період 2020-2024 роки</w:t>
      </w:r>
      <w:r>
        <w:rPr>
          <w:rFonts w:ascii="Times New Roman" w:hAnsi="Times New Roman" w:cs="Times New Roman"/>
        </w:rPr>
        <w:t xml:space="preserve"> (</w:t>
      </w:r>
      <w:hyperlink r:id="rId6" w:history="1">
        <w:r w:rsidRPr="001C0B4A">
          <w:rPr>
            <w:rStyle w:val="a3"/>
            <w:rFonts w:ascii="Times New Roman" w:hAnsi="Times New Roman" w:cs="Times New Roman"/>
          </w:rPr>
          <w:t>https://www.nerc.gov.ua/sferi-diyalnosti/prirodnij-gaz/tarifi-dlya-pidpriyemstv-naftogazovoyi-sferi/tarifi-na-poslugi-transportuvannya-prirodnogo-gazu-dlya-vnutrishnih-tochok-vhodu-i-tochok-vihodu-vz-gazotransportnuoyi-sistemui-dlya-tov-operator-gts-ukrayini</w:t>
        </w:r>
      </w:hyperlink>
      <w:r>
        <w:rPr>
          <w:rFonts w:ascii="Times New Roman" w:hAnsi="Times New Roman" w:cs="Times New Roman"/>
        </w:rPr>
        <w:t>).</w:t>
      </w:r>
    </w:p>
    <w:p w:rsidR="00776315" w:rsidRPr="00213C50" w:rsidRDefault="00776315" w:rsidP="00776315">
      <w:pPr>
        <w:spacing w:after="0" w:line="240" w:lineRule="auto"/>
        <w:ind w:left="-142" w:firstLine="709"/>
        <w:jc w:val="both"/>
        <w:rPr>
          <w:rFonts w:ascii="Times New Roman" w:hAnsi="Times New Roman" w:cs="Times New Roman"/>
        </w:rPr>
      </w:pPr>
      <w:r w:rsidRPr="00213C50">
        <w:rPr>
          <w:rFonts w:ascii="Times New Roman" w:hAnsi="Times New Roman" w:cs="Times New Roman"/>
        </w:rPr>
        <w:t>Нормативно-правові акти:</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Закон України «Про ринок природного газу»;</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Національної комісії, що здійснює державне регулювання у сферах енергетики та комунальних послуг від 30.09.2015 № 2496 «Про затвердження Правил постачання природного газу»;</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2493 «Про затвердження Кодексу газотранспортної системи»;</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30.09.2015 № 2494 «Про затвердження Кодексу газорозподільних систем»;</w:t>
      </w:r>
    </w:p>
    <w:p w:rsidR="003B7901" w:rsidRDefault="003B7901" w:rsidP="00776315">
      <w:pPr>
        <w:numPr>
          <w:ilvl w:val="0"/>
          <w:numId w:val="1"/>
        </w:numPr>
        <w:spacing w:after="0" w:line="240" w:lineRule="auto"/>
        <w:ind w:left="-142" w:firstLine="0"/>
        <w:jc w:val="both"/>
        <w:rPr>
          <w:rFonts w:ascii="Times New Roman" w:hAnsi="Times New Roman" w:cs="Times New Roman"/>
        </w:rPr>
      </w:pPr>
      <w:r>
        <w:rPr>
          <w:rFonts w:ascii="Times New Roman" w:hAnsi="Times New Roman" w:cs="Times New Roman"/>
        </w:rPr>
        <w:t>Постанова</w:t>
      </w:r>
      <w:r w:rsidRPr="003B7901">
        <w:rPr>
          <w:rFonts w:ascii="Times New Roman" w:hAnsi="Times New Roman" w:cs="Times New Roman"/>
        </w:rPr>
        <w:t xml:space="preserve"> НКРЕКП «Про встановлення тарифів для ТОВ «ОПЕРАТОР ГТС УКРАЇНИ» на послуги транспортування природного газу для точок входу і точок виходу на регул</w:t>
      </w:r>
      <w:r>
        <w:rPr>
          <w:rFonts w:ascii="Times New Roman" w:hAnsi="Times New Roman" w:cs="Times New Roman"/>
        </w:rPr>
        <w:t>яторний період 2025 – 2029 роки</w:t>
      </w:r>
      <w:bookmarkStart w:id="0" w:name="_GoBack"/>
      <w:bookmarkEnd w:id="0"/>
      <w:r>
        <w:rPr>
          <w:rFonts w:ascii="Times New Roman" w:hAnsi="Times New Roman" w:cs="Times New Roman"/>
        </w:rPr>
        <w:t>;</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НКРЕКП від 24.12.2019 № 3013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2020 – 2024 роки»;</w:t>
      </w:r>
    </w:p>
    <w:p w:rsidR="00776315" w:rsidRPr="00213C50" w:rsidRDefault="00776315" w:rsidP="00776315">
      <w:pPr>
        <w:numPr>
          <w:ilvl w:val="0"/>
          <w:numId w:val="1"/>
        </w:numPr>
        <w:spacing w:after="0" w:line="240" w:lineRule="auto"/>
        <w:ind w:left="-142" w:firstLine="0"/>
        <w:jc w:val="both"/>
        <w:rPr>
          <w:rFonts w:ascii="Times New Roman" w:hAnsi="Times New Roman" w:cs="Times New Roman"/>
        </w:rPr>
      </w:pPr>
      <w:r w:rsidRPr="00213C50">
        <w:rPr>
          <w:rFonts w:ascii="Times New Roman" w:hAnsi="Times New Roman" w:cs="Times New Roman"/>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та іншими нормативно-правовими актами України, що регулюють відносини у сфері постачання природного газу.</w:t>
      </w:r>
    </w:p>
    <w:p w:rsidR="00776315" w:rsidRDefault="00776315" w:rsidP="00776315">
      <w:pPr>
        <w:spacing w:after="0" w:line="240" w:lineRule="auto"/>
        <w:jc w:val="both"/>
        <w:rPr>
          <w:rFonts w:ascii="Times New Roman" w:hAnsi="Times New Roman" w:cs="Times New Roman"/>
        </w:rPr>
      </w:pPr>
    </w:p>
    <w:p w:rsidR="00776315" w:rsidRDefault="00776315" w:rsidP="00776315">
      <w:pPr>
        <w:spacing w:after="0" w:line="240" w:lineRule="auto"/>
        <w:jc w:val="both"/>
        <w:rPr>
          <w:rFonts w:ascii="Times New Roman" w:hAnsi="Times New Roman" w:cs="Times New Roman"/>
        </w:rPr>
      </w:pPr>
    </w:p>
    <w:p w:rsidR="00776315" w:rsidRPr="00C07553" w:rsidRDefault="00776315" w:rsidP="00776315">
      <w:pPr>
        <w:spacing w:after="0" w:line="240" w:lineRule="auto"/>
        <w:jc w:val="both"/>
        <w:rPr>
          <w:rFonts w:ascii="Times New Roman" w:hAnsi="Times New Roman" w:cs="Times New Roman"/>
        </w:rPr>
      </w:pPr>
    </w:p>
    <w:p w:rsidR="00776315" w:rsidRDefault="00776315" w:rsidP="00776315">
      <w:pPr>
        <w:spacing w:after="0" w:line="240" w:lineRule="auto"/>
        <w:ind w:firstLine="567"/>
        <w:jc w:val="both"/>
        <w:rPr>
          <w:rFonts w:ascii="Times New Roman" w:hAnsi="Times New Roman" w:cs="Times New Roman"/>
        </w:rPr>
      </w:pPr>
    </w:p>
    <w:p w:rsidR="00776315" w:rsidRDefault="00776315" w:rsidP="00776315">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Наталія Стойко     </w:t>
      </w:r>
    </w:p>
    <w:p w:rsidR="00776315" w:rsidRDefault="00776315" w:rsidP="00776315">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rsidR="00776315" w:rsidRPr="007A50F1" w:rsidRDefault="00776315" w:rsidP="00776315">
      <w:pPr>
        <w:spacing w:after="0" w:line="240" w:lineRule="auto"/>
        <w:ind w:right="-81"/>
        <w:jc w:val="center"/>
        <w:rPr>
          <w:rFonts w:ascii="Times New Roman" w:eastAsia="Times New Roman" w:hAnsi="Times New Roman" w:cs="Times New Roman"/>
          <w:sz w:val="20"/>
          <w:szCs w:val="20"/>
          <w:lang w:eastAsia="uk-UA"/>
        </w:rPr>
      </w:pPr>
    </w:p>
    <w:p w:rsidR="00776315" w:rsidRDefault="00776315" w:rsidP="00776315"/>
    <w:p w:rsidR="00776315" w:rsidRPr="00607CF2" w:rsidRDefault="00776315" w:rsidP="00776315">
      <w:pPr>
        <w:jc w:val="both"/>
        <w:rPr>
          <w:rFonts w:ascii="Times New Roman" w:hAnsi="Times New Roman" w:cs="Times New Roman"/>
          <w:sz w:val="28"/>
          <w:szCs w:val="28"/>
        </w:rPr>
      </w:pPr>
    </w:p>
    <w:p w:rsidR="00A4286F" w:rsidRDefault="00A4286F"/>
    <w:sectPr w:rsidR="00A428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15"/>
    <w:rsid w:val="003B7901"/>
    <w:rsid w:val="00627863"/>
    <w:rsid w:val="00776315"/>
    <w:rsid w:val="00A4286F"/>
    <w:rsid w:val="00D47EB3"/>
    <w:rsid w:val="00E772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447B5"/>
  <w15:chartTrackingRefBased/>
  <w15:docId w15:val="{40A69955-6829-4D13-A0AD-60B31E5C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6315"/>
    <w:rPr>
      <w:color w:val="0563C1" w:themeColor="hyperlink"/>
      <w:u w:val="single"/>
    </w:rPr>
  </w:style>
  <w:style w:type="table" w:styleId="a4">
    <w:name w:val="Table Grid"/>
    <w:basedOn w:val="a1"/>
    <w:uiPriority w:val="39"/>
    <w:rsid w:val="00776315"/>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sferi-diyalnosti/prirodnij-gaz/tarifi-dlya-pidpriyemstv-naftogazovoyi-sferi/tarifi-na-poslugi-transportuvannya-prirodnogo-gazu-dlya-vnutrishnih-tochok-vhodu-i-tochok-vihodu-vz-gazotransportnuoyi-sistemui-dlya-tov-operator-gts-ukrayini" TargetMode="External"/><Relationship Id="rId5" Type="http://schemas.openxmlformats.org/officeDocument/2006/relationships/hyperlink" Target="https://zakon.rada.gov.ua/laws/show/812-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789</Words>
  <Characters>5785</Characters>
  <Application>Microsoft Office Word</Application>
  <DocSecurity>0</DocSecurity>
  <Lines>128</Lines>
  <Paragraphs>47</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2025-09-05T06:42:00Z</dcterms:created>
  <dcterms:modified xsi:type="dcterms:W3CDTF">2025-09-05T07:01:00Z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4c795e64-1328-414c-969a-a3efad24fa62</vt:lpwstr>
  </property>
</Properties>
</file>