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9C" w:rsidRPr="00720B9C" w:rsidRDefault="00720B9C" w:rsidP="00720B9C">
      <w:pPr>
        <w:spacing w:after="0" w:line="240" w:lineRule="auto"/>
        <w:ind w:firstLine="284"/>
        <w:jc w:val="center"/>
        <w:rPr>
          <w:rFonts w:ascii="Times New Roman" w:eastAsiaTheme="minorHAnsi" w:hAnsi="Times New Roman" w:cstheme="minorBidi"/>
          <w:sz w:val="32"/>
          <w:szCs w:val="32"/>
        </w:rPr>
      </w:pPr>
      <w:r w:rsidRPr="00720B9C">
        <w:rPr>
          <w:rFonts w:ascii="Times New Roman" w:eastAsiaTheme="minorHAnsi" w:hAnsi="Times New Roman" w:cstheme="minorBidi"/>
          <w:sz w:val="32"/>
          <w:szCs w:val="32"/>
        </w:rPr>
        <w:fldChar w:fldCharType="begin"/>
      </w:r>
      <w:r w:rsidRPr="00720B9C">
        <w:rPr>
          <w:rFonts w:ascii="Times New Roman" w:eastAsiaTheme="minorHAnsi" w:hAnsi="Times New Roman" w:cstheme="minorBidi"/>
          <w:sz w:val="32"/>
          <w:szCs w:val="32"/>
        </w:rPr>
        <w:instrText xml:space="preserve"> HYPERLINK "https://prozorro.gov.ua/tender/UA-2025-10-03-000030-a?oldVersion=true" </w:instrText>
      </w:r>
      <w:r w:rsidRPr="00720B9C">
        <w:rPr>
          <w:rFonts w:ascii="Times New Roman" w:eastAsiaTheme="minorHAnsi" w:hAnsi="Times New Roman" w:cstheme="minorBidi"/>
          <w:sz w:val="32"/>
          <w:szCs w:val="32"/>
        </w:rPr>
        <w:fldChar w:fldCharType="separate"/>
      </w:r>
      <w:r w:rsidRPr="00720B9C">
        <w:rPr>
          <w:rStyle w:val="a6"/>
          <w:rFonts w:ascii="Times New Roman" w:eastAsiaTheme="minorHAnsi" w:hAnsi="Times New Roman" w:cstheme="minorBidi"/>
          <w:sz w:val="32"/>
          <w:szCs w:val="32"/>
        </w:rPr>
        <w:t>https://prozorro.gov.ua/tender/UA-2025-10-03-000030-a?oldVersion=true</w:t>
      </w:r>
      <w:r w:rsidRPr="00720B9C">
        <w:rPr>
          <w:rFonts w:ascii="Times New Roman" w:eastAsiaTheme="minorHAnsi" w:hAnsi="Times New Roman" w:cstheme="minorBidi"/>
          <w:sz w:val="32"/>
          <w:szCs w:val="32"/>
        </w:rPr>
        <w:fldChar w:fldCharType="end"/>
      </w:r>
    </w:p>
    <w:p w:rsidR="00720B9C" w:rsidRDefault="00720B9C" w:rsidP="00720B9C">
      <w:pPr>
        <w:spacing w:after="0" w:line="240" w:lineRule="auto"/>
        <w:ind w:firstLine="284"/>
        <w:jc w:val="both"/>
        <w:rPr>
          <w:rFonts w:ascii="Times New Roman" w:eastAsiaTheme="minorHAnsi" w:hAnsi="Times New Roman" w:cstheme="minorBidi"/>
        </w:rPr>
      </w:pPr>
    </w:p>
    <w:p w:rsidR="00720B9C" w:rsidRPr="00720B9C" w:rsidRDefault="00720B9C" w:rsidP="00720B9C">
      <w:pPr>
        <w:spacing w:after="0" w:line="240" w:lineRule="auto"/>
        <w:ind w:firstLine="284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720B9C">
        <w:rPr>
          <w:rFonts w:ascii="Times New Roman" w:hAnsi="Times New Roman"/>
          <w:b/>
          <w:color w:val="454545"/>
          <w:sz w:val="36"/>
          <w:szCs w:val="36"/>
          <w:shd w:val="clear" w:color="auto" w:fill="F0F5F2"/>
        </w:rPr>
        <w:t>Послуги з технічного супроводу та модернізації функціоналу реєстру територіальної громади (ДК 021:2015: 72250000-2: Послуги, пов’язані із системами та підтримкою)</w:t>
      </w:r>
    </w:p>
    <w:p w:rsidR="00720B9C" w:rsidRDefault="00720B9C" w:rsidP="00720B9C">
      <w:pPr>
        <w:spacing w:after="0" w:line="240" w:lineRule="auto"/>
        <w:ind w:firstLine="284"/>
        <w:jc w:val="both"/>
        <w:rPr>
          <w:rFonts w:ascii="Times New Roman" w:eastAsiaTheme="minorHAnsi" w:hAnsi="Times New Roman" w:cstheme="minorBidi"/>
        </w:rPr>
      </w:pPr>
      <w:r w:rsidRPr="00720B9C">
        <w:rPr>
          <w:rFonts w:ascii="Times New Roman" w:eastAsiaTheme="minorHAnsi" w:hAnsi="Times New Roman" w:cstheme="minorBidi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720B9C" w:rsidRPr="00720B9C" w:rsidRDefault="00720B9C" w:rsidP="00720B9C">
      <w:pPr>
        <w:spacing w:after="0" w:line="240" w:lineRule="auto"/>
        <w:ind w:firstLine="284"/>
        <w:jc w:val="both"/>
        <w:rPr>
          <w:rFonts w:ascii="Times New Roman" w:eastAsiaTheme="minorHAnsi" w:hAnsi="Times New Roman" w:cstheme="minorBidi"/>
        </w:rPr>
      </w:pPr>
    </w:p>
    <w:p w:rsidR="00720B9C" w:rsidRPr="00720B9C" w:rsidRDefault="00720B9C" w:rsidP="00720B9C">
      <w:pPr>
        <w:spacing w:after="0" w:line="240" w:lineRule="auto"/>
        <w:ind w:firstLine="284"/>
        <w:jc w:val="both"/>
        <w:rPr>
          <w:rFonts w:ascii="Times New Roman" w:eastAsiaTheme="minorHAnsi" w:hAnsi="Times New Roman" w:cstheme="minorBidi"/>
          <w:b/>
        </w:rPr>
      </w:pPr>
      <w:r w:rsidRPr="00720B9C">
        <w:rPr>
          <w:rFonts w:ascii="Times New Roman" w:eastAsiaTheme="minorHAnsi" w:hAnsi="Times New Roman" w:cstheme="minorBidi"/>
          <w:b/>
        </w:rPr>
        <w:t xml:space="preserve"> 1. Назва Замовника: -Департамент економічного розвитку Львівської міської ради (34814859), площа Ринок, 1., </w:t>
      </w:r>
      <w:proofErr w:type="spellStart"/>
      <w:r w:rsidRPr="00720B9C">
        <w:rPr>
          <w:rFonts w:ascii="Times New Roman" w:eastAsiaTheme="minorHAnsi" w:hAnsi="Times New Roman" w:cstheme="minorBidi"/>
          <w:b/>
        </w:rPr>
        <w:t>м.Львів</w:t>
      </w:r>
      <w:proofErr w:type="spellEnd"/>
      <w:r w:rsidRPr="00720B9C">
        <w:rPr>
          <w:rFonts w:ascii="Times New Roman" w:eastAsiaTheme="minorHAnsi" w:hAnsi="Times New Roman" w:cstheme="minorBidi"/>
          <w:b/>
        </w:rPr>
        <w:t xml:space="preserve">. </w:t>
      </w:r>
    </w:p>
    <w:p w:rsidR="00720B9C" w:rsidRPr="00720B9C" w:rsidRDefault="00720B9C" w:rsidP="00720B9C">
      <w:p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720B9C">
        <w:rPr>
          <w:rFonts w:ascii="Times New Roman" w:eastAsiaTheme="minorHAnsi" w:hAnsi="Times New Roman" w:cstheme="minorBidi"/>
          <w:b/>
        </w:rPr>
        <w:t>2. Назва предмета закупівлі із зазначенням коду за Єдиним закупівельним словником:</w:t>
      </w:r>
      <w:r w:rsidRPr="00720B9C">
        <w:rPr>
          <w:rFonts w:ascii="Times New Roman" w:eastAsiaTheme="minorHAnsi" w:hAnsi="Times New Roman" w:cstheme="minorBidi"/>
        </w:rPr>
        <w:t xml:space="preserve"> </w:t>
      </w:r>
      <w:r w:rsidRPr="006317EE">
        <w:rPr>
          <w:rFonts w:ascii="Times New Roman" w:hAnsi="Times New Roman"/>
        </w:rPr>
        <w:t>«Послуги з технічного супроводу та модернізації функціоналу реєстру територіальної громад (ДК 021:2015: 72250000-2: Послуги, пов’яза</w:t>
      </w:r>
      <w:r>
        <w:rPr>
          <w:rFonts w:ascii="Times New Roman" w:hAnsi="Times New Roman"/>
        </w:rPr>
        <w:t>ні із системами та підтримкою)».</w:t>
      </w:r>
    </w:p>
    <w:p w:rsidR="00720B9C" w:rsidRDefault="00720B9C" w:rsidP="00720B9C">
      <w:pPr>
        <w:spacing w:after="0" w:line="240" w:lineRule="auto"/>
        <w:ind w:firstLine="284"/>
        <w:jc w:val="both"/>
        <w:rPr>
          <w:rFonts w:ascii="Times New Roman" w:eastAsiaTheme="minorHAnsi" w:hAnsi="Times New Roman" w:cstheme="minorBidi"/>
        </w:rPr>
      </w:pPr>
      <w:r w:rsidRPr="00720B9C">
        <w:rPr>
          <w:rFonts w:ascii="Times New Roman" w:eastAsiaTheme="minorHAnsi" w:hAnsi="Times New Roman" w:cstheme="minorBidi"/>
          <w:b/>
        </w:rPr>
        <w:t>3. Обґрунтування технічних та якісних характеристик предмета закупівлі</w:t>
      </w:r>
      <w:r w:rsidRPr="00720B9C">
        <w:rPr>
          <w:rFonts w:ascii="Times New Roman" w:eastAsiaTheme="minorHAnsi" w:hAnsi="Times New Roman" w:cstheme="minorBidi"/>
        </w:rPr>
        <w:t xml:space="preserve">: Технічні та якісні характеристики предмету закупівлі визначені відповідно до потреб замовника. </w:t>
      </w:r>
      <w:r w:rsidRPr="007670CB">
        <w:rPr>
          <w:rFonts w:ascii="Times New Roman" w:eastAsiaTheme="minorHAnsi" w:hAnsi="Times New Roman" w:cstheme="minorBidi"/>
        </w:rPr>
        <w:t xml:space="preserve">Функціонал реєстру територіальної громади створено на базі </w:t>
      </w:r>
      <w:proofErr w:type="spellStart"/>
      <w:r w:rsidRPr="007670CB">
        <w:rPr>
          <w:rFonts w:ascii="Times New Roman" w:eastAsiaTheme="minorHAnsi" w:hAnsi="Times New Roman" w:cstheme="minorBidi"/>
        </w:rPr>
        <w:t>компʼютерної</w:t>
      </w:r>
      <w:proofErr w:type="spellEnd"/>
      <w:r w:rsidRPr="007670CB">
        <w:rPr>
          <w:rFonts w:ascii="Times New Roman" w:eastAsiaTheme="minorHAnsi" w:hAnsi="Times New Roman" w:cstheme="minorBidi"/>
        </w:rPr>
        <w:t xml:space="preserve"> програми «Програмний комплекс по обліку комунальних послуг «</w:t>
      </w:r>
      <w:proofErr w:type="spellStart"/>
      <w:r w:rsidRPr="007670CB">
        <w:rPr>
          <w:rFonts w:ascii="Times New Roman" w:eastAsiaTheme="minorHAnsi" w:hAnsi="Times New Roman" w:cstheme="minorBidi"/>
        </w:rPr>
        <w:t>Visual</w:t>
      </w:r>
      <w:proofErr w:type="spellEnd"/>
      <w:r w:rsidRPr="007670CB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7670CB">
        <w:rPr>
          <w:rFonts w:ascii="Times New Roman" w:eastAsiaTheme="minorHAnsi" w:hAnsi="Times New Roman" w:cstheme="minorBidi"/>
        </w:rPr>
        <w:t>Service</w:t>
      </w:r>
      <w:proofErr w:type="spellEnd"/>
      <w:r w:rsidRPr="007670CB">
        <w:rPr>
          <w:rFonts w:ascii="Times New Roman" w:eastAsiaTheme="minorHAnsi" w:hAnsi="Times New Roman" w:cstheme="minorBidi"/>
        </w:rPr>
        <w:t>», яка у свою чергу є основою для функціонування модуля «Облік населення». Опис необхідних доробок з технічної підтримки функціоналу реєстру територіальної громади передбачен</w:t>
      </w:r>
      <w:r>
        <w:rPr>
          <w:rFonts w:ascii="Times New Roman" w:eastAsiaTheme="minorHAnsi" w:hAnsi="Times New Roman" w:cstheme="minorBidi"/>
        </w:rPr>
        <w:t>ий в Технічному завданні.</w:t>
      </w:r>
    </w:p>
    <w:p w:rsidR="00720B9C" w:rsidRPr="009923EA" w:rsidRDefault="00720B9C" w:rsidP="00720B9C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923EA">
        <w:rPr>
          <w:rFonts w:ascii="Times New Roman" w:hAnsi="Times New Roman"/>
          <w:sz w:val="22"/>
          <w:szCs w:val="22"/>
        </w:rPr>
        <w:t xml:space="preserve">Автоматизоване надсилання повідомлень до територіальних громад України про одночасне зняття мешканця з реєстрації при його реєстрації в Львівській територіальні громаді. </w:t>
      </w:r>
    </w:p>
    <w:p w:rsidR="00720B9C" w:rsidRPr="009923EA" w:rsidRDefault="00720B9C" w:rsidP="00720B9C">
      <w:pPr>
        <w:pStyle w:val="a7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 w:rsidRPr="009923EA">
        <w:rPr>
          <w:rFonts w:ascii="Times New Roman" w:hAnsi="Times New Roman"/>
          <w:sz w:val="22"/>
          <w:szCs w:val="22"/>
        </w:rPr>
        <w:t xml:space="preserve">Розробити процедуру формування Повідомлення про зняття мешканця з реєстрації в іншій територіальній громаді України за умови реєстрації його місця проживання в Львівській ТГ; </w:t>
      </w:r>
    </w:p>
    <w:p w:rsidR="00720B9C" w:rsidRPr="009923EA" w:rsidRDefault="00720B9C" w:rsidP="00720B9C">
      <w:pPr>
        <w:pStyle w:val="a7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 w:rsidRPr="009923EA">
        <w:rPr>
          <w:rFonts w:ascii="Times New Roman" w:hAnsi="Times New Roman"/>
          <w:sz w:val="22"/>
          <w:szCs w:val="22"/>
        </w:rPr>
        <w:t>Доповнити «Журнал обміну даними в системі Трембіта» Повідомленнями про зняття мешканця з реєстрації в іншій територіальній громаді. Виконувати автоматизоване надсилання такого повідомлення іншим ТГ захищеними каналами обміну даними Трембіта</w:t>
      </w:r>
      <w:r w:rsidRPr="009923EA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;</w:t>
      </w:r>
    </w:p>
    <w:p w:rsidR="00720B9C" w:rsidRPr="009923EA" w:rsidRDefault="00720B9C" w:rsidP="00720B9C">
      <w:pPr>
        <w:pStyle w:val="a7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 w:rsidRPr="009923EA">
        <w:rPr>
          <w:rFonts w:ascii="Times New Roman" w:hAnsi="Times New Roman"/>
          <w:sz w:val="22"/>
          <w:szCs w:val="22"/>
        </w:rPr>
        <w:t>Додати відображення такого типу повідомлень з деталізацією JSON в модулях «Реєстр мешканців» та «Журнал обміну даними Трембіта»;</w:t>
      </w:r>
    </w:p>
    <w:p w:rsidR="00720B9C" w:rsidRPr="009923EA" w:rsidRDefault="00720B9C" w:rsidP="00720B9C">
      <w:pPr>
        <w:pStyle w:val="a7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 w:rsidRPr="009923EA">
        <w:rPr>
          <w:rFonts w:ascii="Times New Roman" w:hAnsi="Times New Roman"/>
          <w:sz w:val="22"/>
          <w:szCs w:val="22"/>
        </w:rPr>
        <w:t>У випадку отримання вмотивованої відмови з іншої ТГ, виконувати автоматичне скасування реєстраційних дій в Реєстрі мешканців Львівської ТГ, а також ставити відповідну помітку про скасування в заяві ДМС або ЦНАП із зазначенням причини скасування;</w:t>
      </w:r>
    </w:p>
    <w:p w:rsidR="00720B9C" w:rsidRPr="007670CB" w:rsidRDefault="00720B9C" w:rsidP="00720B9C">
      <w:pPr>
        <w:pStyle w:val="a7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 w:rsidRPr="009923EA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Провести тестове надсилання даних та отримання позитивної та негативної відповіді від іншої територіальної громади про опрацювання такого типу повідомлень.</w:t>
      </w:r>
    </w:p>
    <w:p w:rsidR="00720B9C" w:rsidRPr="007670CB" w:rsidRDefault="00720B9C" w:rsidP="00720B9C">
      <w:pPr>
        <w:pStyle w:val="a7"/>
        <w:numPr>
          <w:ilvl w:val="1"/>
          <w:numId w:val="15"/>
        </w:numPr>
        <w:jc w:val="both"/>
        <w:rPr>
          <w:rFonts w:ascii="Times New Roman" w:hAnsi="Times New Roman"/>
          <w:sz w:val="22"/>
          <w:szCs w:val="22"/>
        </w:rPr>
      </w:pPr>
      <w:r w:rsidRPr="0075268B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Формат повідомлення про зняття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617"/>
        <w:gridCol w:w="3965"/>
        <w:gridCol w:w="478"/>
        <w:gridCol w:w="999"/>
        <w:gridCol w:w="977"/>
        <w:gridCol w:w="857"/>
      </w:tblGrid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color w:val="000000"/>
                <w:spacing w:val="-1"/>
                <w:lang w:val="en-CA"/>
              </w:rPr>
              <w:t>Рівень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color w:val="000000"/>
                <w:spacing w:val="-1"/>
                <w:lang w:val="en-CA"/>
              </w:rPr>
              <w:t>Ім’я</w:t>
            </w:r>
            <w:proofErr w:type="spellEnd"/>
            <w:r w:rsidRPr="009408CD">
              <w:rPr>
                <w:rFonts w:ascii="Times New Roman" w:hAnsi="Times New Roman"/>
                <w:b/>
                <w:bCs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/>
                <w:bCs/>
                <w:color w:val="000000"/>
                <w:spacing w:val="-1"/>
                <w:lang w:val="en-CA"/>
              </w:rPr>
              <w:t>атрибута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color w:val="000000"/>
                <w:spacing w:val="-1"/>
                <w:lang w:val="en-CA"/>
              </w:rPr>
              <w:t>Коментар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color w:val="000000"/>
                <w:spacing w:val="-1"/>
                <w:lang w:val="en-CA"/>
              </w:rPr>
              <w:t>Тип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color w:val="000000"/>
                <w:spacing w:val="-1"/>
                <w:lang w:val="en-CA"/>
              </w:rPr>
              <w:t>Формат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color w:val="000000"/>
                <w:spacing w:val="-1"/>
                <w:lang w:val="en-CA"/>
              </w:rPr>
              <w:t>Довжина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/>
                <w:bCs/>
                <w:color w:val="000000"/>
                <w:spacing w:val="-1"/>
                <w:lang w:val="en-CA"/>
              </w:rPr>
              <w:t>NOT null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CardRegDate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Дата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реєстрації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рррр-мм-дд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CardRegOrgan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Назва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органу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(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ініціатор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)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CardOutOrgan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Назва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територіальної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громади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(кому направлено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)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Особа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PersUNZR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Унікальний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номер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запису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в ЄДДР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PersUNZR_F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УНЗР не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відповідає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даті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народження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PersINN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Індивідуальний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податковий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номер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PersINN_F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ІПН не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відповідає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даті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народження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PersFam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Прізвище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укр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PersIm1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Ім`я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укр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PersIm2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По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батькові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укр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PersSex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Стать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PersBornDate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Дата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народження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рррр-мм-дд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PersCitiz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Громадянство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Born_address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Місце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народження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(див. структура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адреси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[]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Born_address_txt</w:t>
            </w:r>
            <w:proofErr w:type="spellEnd"/>
          </w:p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Місце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народження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  (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текст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Телефон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особи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PersEmail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Email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особи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Reg_address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Адреса </w:t>
            </w:r>
            <w:proofErr w:type="gram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на яку</w:t>
            </w:r>
            <w:proofErr w:type="gram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особа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зареєструвалася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. 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(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див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.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структура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адреси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[]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InOut_address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Адреса з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якої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особа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знімається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. 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(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див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.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структура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адреси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[]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Document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Документ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особи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DocType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Тип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документу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DocSeria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Серія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DocNomer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Номер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DocDate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Дата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видачі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рррр-мм-дд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DocOrgan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Орган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видачі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DocDateTill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Дійсний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рррр-мм-дд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Military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Відомості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обов'язок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isViysk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Статус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військового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обов’язку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Дов.1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ViyskVD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приналежність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Дов.2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TRUE*</w:t>
            </w: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VDocType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документ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lang w:val="en-CA"/>
              </w:rPr>
              <w:t>–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вид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Дов.3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VDocNomer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документ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-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серія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/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номер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VMilID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номер в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реєстрі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ЄДРВ (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Військовий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ID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VZvan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Військове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звання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VSpec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Військово-облікова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спеціальність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VComis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Центр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комплектування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та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соціальної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підтримки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</w:tbl>
    <w:p w:rsidR="00720B9C" w:rsidRPr="00AA3626" w:rsidRDefault="00720B9C" w:rsidP="00720B9C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lang w:val="ru-RU"/>
        </w:rPr>
      </w:pPr>
      <w:r w:rsidRPr="00915769">
        <w:rPr>
          <w:rFonts w:ascii="Times New Roman" w:hAnsi="Times New Roman"/>
          <w:color w:val="000000"/>
          <w:spacing w:val="-1"/>
          <w:lang w:val="en-CA"/>
        </w:rPr>
        <w:t>TRUE</w:t>
      </w:r>
      <w:r w:rsidRPr="00AA3626">
        <w:rPr>
          <w:rFonts w:ascii="Times New Roman" w:hAnsi="Times New Roman"/>
          <w:color w:val="000000"/>
          <w:spacing w:val="-1"/>
          <w:lang w:val="ru-RU"/>
        </w:rPr>
        <w:t xml:space="preserve">* - у </w:t>
      </w:r>
      <w:proofErr w:type="spellStart"/>
      <w:r w:rsidRPr="00AA3626">
        <w:rPr>
          <w:rFonts w:ascii="Times New Roman" w:hAnsi="Times New Roman"/>
          <w:color w:val="000000"/>
          <w:spacing w:val="-1"/>
          <w:lang w:val="ru-RU"/>
        </w:rPr>
        <w:t>випадку</w:t>
      </w:r>
      <w:proofErr w:type="spellEnd"/>
      <w:r w:rsidRPr="00AA3626">
        <w:rPr>
          <w:rFonts w:ascii="Times New Roman" w:hAnsi="Times New Roman"/>
          <w:color w:val="000000"/>
          <w:spacing w:val="-1"/>
          <w:lang w:val="ru-RU"/>
        </w:rPr>
        <w:t xml:space="preserve"> </w:t>
      </w:r>
      <w:proofErr w:type="spellStart"/>
      <w:r w:rsidRPr="00915769">
        <w:rPr>
          <w:rFonts w:ascii="Times New Roman" w:hAnsi="Times New Roman"/>
          <w:color w:val="000000"/>
          <w:spacing w:val="-1"/>
          <w:lang w:val="en-CA"/>
        </w:rPr>
        <w:t>isViysk</w:t>
      </w:r>
      <w:proofErr w:type="spellEnd"/>
      <w:r w:rsidRPr="00AA3626">
        <w:rPr>
          <w:rFonts w:ascii="Times New Roman" w:hAnsi="Times New Roman"/>
          <w:color w:val="000000"/>
          <w:spacing w:val="-1"/>
          <w:lang w:val="ru-RU"/>
        </w:rPr>
        <w:t>=</w:t>
      </w:r>
      <w:proofErr w:type="gramStart"/>
      <w:r w:rsidRPr="00AA3626">
        <w:rPr>
          <w:rFonts w:ascii="Times New Roman" w:hAnsi="Times New Roman"/>
          <w:color w:val="000000"/>
          <w:spacing w:val="-1"/>
          <w:lang w:val="ru-RU"/>
        </w:rPr>
        <w:t>0 ,</w:t>
      </w:r>
      <w:proofErr w:type="gramEnd"/>
      <w:r w:rsidRPr="00AA3626">
        <w:rPr>
          <w:rFonts w:ascii="Times New Roman" w:hAnsi="Times New Roman"/>
          <w:color w:val="000000"/>
          <w:spacing w:val="-1"/>
          <w:lang w:val="ru-RU"/>
        </w:rPr>
        <w:t xml:space="preserve"> не </w:t>
      </w:r>
      <w:proofErr w:type="spellStart"/>
      <w:r w:rsidRPr="00AA3626">
        <w:rPr>
          <w:rFonts w:ascii="Times New Roman" w:hAnsi="Times New Roman"/>
          <w:color w:val="000000"/>
          <w:spacing w:val="-1"/>
          <w:lang w:val="ru-RU"/>
        </w:rPr>
        <w:t>обов'язкове</w:t>
      </w:r>
      <w:proofErr w:type="spellEnd"/>
      <w:r w:rsidRPr="00AA3626">
        <w:rPr>
          <w:rFonts w:ascii="Times New Roman" w:hAnsi="Times New Roman"/>
          <w:color w:val="000000"/>
          <w:spacing w:val="-1"/>
          <w:lang w:val="ru-RU"/>
        </w:rPr>
        <w:t>.</w:t>
      </w:r>
    </w:p>
    <w:p w:rsidR="00720B9C" w:rsidRPr="00AA3626" w:rsidRDefault="00720B9C" w:rsidP="00720B9C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lang w:val="ru-RU"/>
        </w:rPr>
      </w:pPr>
    </w:p>
    <w:p w:rsidR="00720B9C" w:rsidRPr="00915769" w:rsidRDefault="00720B9C" w:rsidP="00720B9C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lang w:val="en-CA"/>
        </w:rPr>
      </w:pPr>
      <w:proofErr w:type="spellStart"/>
      <w:r w:rsidRPr="00915769">
        <w:rPr>
          <w:rFonts w:ascii="Times New Roman" w:hAnsi="Times New Roman"/>
          <w:color w:val="000000"/>
          <w:spacing w:val="-1"/>
          <w:lang w:val="en-CA"/>
        </w:rPr>
        <w:t>Довідники</w:t>
      </w:r>
      <w:proofErr w:type="spellEnd"/>
      <w:r w:rsidRPr="00915769">
        <w:rPr>
          <w:rFonts w:ascii="Times New Roman" w:hAnsi="Times New Roman"/>
          <w:color w:val="000000"/>
          <w:spacing w:val="-1"/>
          <w:lang w:val="en-CA"/>
        </w:rPr>
        <w:t>: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2597"/>
        <w:gridCol w:w="338"/>
        <w:gridCol w:w="6237"/>
      </w:tblGrid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Дов.1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Військовозобов'язаний</w:t>
            </w:r>
            <w:proofErr w:type="spellEnd"/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Військовозобов'язаний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Не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військовозобов'язаний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Призовник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Резервіст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Дов.2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приналежність</w:t>
            </w:r>
            <w:proofErr w:type="spellEnd"/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МОУ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СБУ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СЗРУ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Дов.3</w:t>
            </w:r>
          </w:p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документ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-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вид</w:t>
            </w:r>
            <w:proofErr w:type="spellEnd"/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Посвідчення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приписку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квиток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Тимчасове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посвідчення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Службове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посвідчення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Номер в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реєстрі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ЄДРВ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 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(Не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використовується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)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Інші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документи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Військово-обліковий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документ</w:t>
            </w:r>
            <w:proofErr w:type="spellEnd"/>
          </w:p>
        </w:tc>
      </w:tr>
    </w:tbl>
    <w:p w:rsidR="00720B9C" w:rsidRPr="00915769" w:rsidRDefault="00720B9C" w:rsidP="00720B9C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20B9C" w:rsidRPr="00AF5000" w:rsidRDefault="00720B9C" w:rsidP="00720B9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lang w:val="en-CA"/>
        </w:rPr>
      </w:pPr>
      <w:r w:rsidRPr="00AF5000">
        <w:rPr>
          <w:rFonts w:ascii="Times New Roman" w:hAnsi="Times New Roman"/>
          <w:color w:val="000000"/>
          <w:spacing w:val="-1"/>
          <w:lang w:val="en-CA"/>
        </w:rPr>
        <w:t>СТРУКТУРА АДРЕСИ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678"/>
        <w:gridCol w:w="1597"/>
        <w:gridCol w:w="447"/>
        <w:gridCol w:w="841"/>
        <w:gridCol w:w="5350"/>
      </w:tblGrid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Об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</w:rPr>
              <w:t>’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єкт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Рівень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І’мя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Тип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NOT NULL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Опис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Адрес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&lt;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address_nodes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Массив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вузлів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адреси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gram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(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Reg</w:t>
            </w:r>
            <w:proofErr w:type="gram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_address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,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InOut_address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,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Born_address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...)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Тип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вузла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з 8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фіксованими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назвами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(country, region,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district</w:t>
            </w:r>
            <w:proofErr w:type="gram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,city</w:t>
            </w:r>
            <w:proofErr w:type="spellEnd"/>
            <w:proofErr w:type="gram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,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city_district,street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, building, flat.)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Prefix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Іменований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префікс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вузла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(для 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street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-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вул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, проспект,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провулок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,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тупік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,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проїзд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, бульвар....., для 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city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-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місто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, село, селище,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хутір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,...)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Назва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вузла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Katottg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Код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 xml:space="preserve"> КАТ</w:t>
            </w:r>
            <w:r>
              <w:rPr>
                <w:rFonts w:ascii="Times New Roman" w:hAnsi="Times New Roman"/>
                <w:color w:val="000000"/>
                <w:spacing w:val="-1"/>
              </w:rPr>
              <w:t>О</w:t>
            </w: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ТГ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Cvk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en-CA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Код адресного 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довідника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ЦВК (</w:t>
            </w:r>
            <w:proofErr w:type="spellStart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Довідково</w:t>
            </w:r>
            <w:proofErr w:type="spellEnd"/>
            <w:r w:rsidRPr="009408CD">
              <w:rPr>
                <w:rFonts w:ascii="Times New Roman" w:hAnsi="Times New Roman"/>
                <w:color w:val="000000"/>
                <w:spacing w:val="-1"/>
                <w:lang w:val="ru-RU"/>
              </w:rPr>
              <w:t>)</w:t>
            </w:r>
          </w:p>
        </w:tc>
      </w:tr>
    </w:tbl>
    <w:p w:rsidR="00720B9C" w:rsidRPr="008C2AF8" w:rsidRDefault="00720B9C" w:rsidP="00720B9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20B9C" w:rsidRPr="00064E70" w:rsidRDefault="00720B9C" w:rsidP="00720B9C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2. </w:t>
      </w:r>
      <w:r w:rsidRPr="00064E70">
        <w:rPr>
          <w:rFonts w:ascii="Times New Roman" w:eastAsia="Times New Roman" w:hAnsi="Times New Roman"/>
          <w:b/>
          <w:color w:val="000000"/>
        </w:rPr>
        <w:t xml:space="preserve">Оновлення системи обміну даними, відповідно до оновленої документації ДМС. </w:t>
      </w:r>
    </w:p>
    <w:p w:rsidR="00720B9C" w:rsidRPr="00064E70" w:rsidRDefault="00720B9C" w:rsidP="00720B9C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064E70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Виконати аналіз документації ДМС для виявлення змін та доповнень що виникли після укладення попереднього договору №35 від 11.11.2024 ;</w:t>
      </w:r>
    </w:p>
    <w:p w:rsidR="00720B9C" w:rsidRPr="00064E70" w:rsidRDefault="00720B9C" w:rsidP="00720B9C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bCs/>
          <w:color w:val="000000"/>
          <w:spacing w:val="-1"/>
          <w:sz w:val="22"/>
          <w:szCs w:val="22"/>
          <w:lang w:eastAsia="en-US"/>
        </w:rPr>
      </w:pPr>
      <w:r w:rsidRPr="00064E70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З</w:t>
      </w:r>
      <w:r w:rsidRPr="00064E7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абезпечити відображення нових даних в підсистемах «Журнал обміну даними в системі Трембіта» та «Реєстр мешканців».</w:t>
      </w:r>
    </w:p>
    <w:p w:rsidR="00720B9C" w:rsidRPr="009408CD" w:rsidRDefault="00720B9C" w:rsidP="00720B9C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3. </w:t>
      </w:r>
      <w:r w:rsidRPr="00064E70">
        <w:rPr>
          <w:rFonts w:ascii="Times New Roman" w:eastAsia="Times New Roman" w:hAnsi="Times New Roman"/>
          <w:b/>
          <w:color w:val="000000"/>
        </w:rPr>
        <w:t>Провести узгодження довідників ВІС ДМС та Реєстру Львівської міської територіальної громади.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2488"/>
        <w:gridCol w:w="653"/>
        <w:gridCol w:w="4711"/>
      </w:tblGrid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CardType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Категорія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обліку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місця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проживання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місця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проживання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одночасним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13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Зміна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імені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та/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документів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Внесення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відомостей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ТОТ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реєстрації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11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місця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перебування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#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CardRegReason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Підстава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/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реєстрації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громадянина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законного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представника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представника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довіреністю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Дані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новонароджену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дитину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органу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соціального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захисту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Внесення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відомостей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місця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проживання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04.04.2016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суду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позбавлення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права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власності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користування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суду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виселення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суду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реєстрації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суду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визнання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безвісно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відсутньою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померлою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Свідоцтво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смерть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ДМС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із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зазначенням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відповідних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реквізитів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паспорта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померлої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документа про смерть, виданого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компетентним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органом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іноземної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держави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Відсутність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підстав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для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перебування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іноземним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громадянам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території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України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Відсутність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підстав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для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проживання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бездомної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 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спеціалізованій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соціальній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установі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Відсутність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підстав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право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користування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житловим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приміщенням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місця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проживання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 (до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запровадження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електронного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обміну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в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повному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обсязі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)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Внесення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відомостей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місця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проживання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04.04.2016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ДІЯ Е-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Малятко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(EM)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ДІЯ Е-14 (E14)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ДІЯ Е-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(ER)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ДІЯ Е-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Декларування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(ERA)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Дані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отримані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ДРВ ЦВК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власника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реєстрації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Актуалізація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даних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#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CardEraseReason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Підстава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скасування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/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зняття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суду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органів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опіки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/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піклування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Відсутність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законних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підстав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4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Невідповідність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даних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5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Технічна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помилка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Порушення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НПА 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сфері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МП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Відмова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органу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при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декларуванні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(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ERA</w:t>
            </w: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) у ВІС ДМС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14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Визнання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паспорта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недійсним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(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оформленим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порушенням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законодавства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) за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приписом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ДМС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871 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постанови КМУ №265 п. 87.1 -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наявність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обтяжень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щодо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в ДРРП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872 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постанови КМУ №265 п. 87.2 -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відомості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в ДРРП не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відповідають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зазначеному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поданих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документах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873 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постанови КМУ №265 п. 87.3 - не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надано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необхідних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документів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відомостей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874 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постанови КМУ №265 п. 87.4 -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надано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недостовірні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відомості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недійсні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документи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875 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постанови КМУ №265 п. 87.5 - особа не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уповноважена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подання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документів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876 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постанови КМУ №265 п. 87.6 -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не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присвоєна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адреса в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установленому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порядку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877 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постанови КМУ №265 п. 87.7 -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об'єкт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нерухомого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майна не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належить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878 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постанови КМУ №265 п. 87.8 -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відомості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РТГ про МП </w:t>
            </w:r>
            <w:proofErr w:type="spellStart"/>
            <w:proofErr w:type="gram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батьків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не</w:t>
            </w:r>
            <w:proofErr w:type="gram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відповідають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декларації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поданої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стосовно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дитини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  </w:t>
            </w:r>
          </w:p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879 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постанови КМУ №265 п. 87.9 -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дані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РТГ про МП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батьків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не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відповідають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декларації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поданої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дитиною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(14-18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років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)   </w:t>
            </w:r>
          </w:p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    </w:t>
            </w:r>
          </w:p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51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Дублювання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облікових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записів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52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Відсутність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будь-коли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 на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території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громади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53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Відсутність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відомостей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для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ідентифікації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особи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та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/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адреси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її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реєстрації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#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PersSex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Стать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особи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Ч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Чоловіча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Ж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Жіноча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Н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Не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визначена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#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PersCitiz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Словник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громадянств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ISO</w:t>
            </w: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3166-1 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alpha</w:t>
            </w: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-3 + ‘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XXX</w:t>
            </w: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’ - ‘Без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громадянства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’, ‘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NNN</w:t>
            </w: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’ - ’Не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встановлено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’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#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DocType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Тип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документа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особи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СВ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Свідоцтво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народження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ПГУ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Паспорт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громадянина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України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ІД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ІД-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картка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громадянина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України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ТПГУ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Тимчасове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посвідчення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громадянина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України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ППП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Посвідка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постійне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проживання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в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Україні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ПТП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Посвідка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тимчасове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проживання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в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Україні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ПБ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Посвідчення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біженця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ПДЗ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Посвідчення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особи, яка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потребує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додаткового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захисту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ПТЗ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Посвідчення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особи,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якій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надано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тимчасовий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захист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ДЗЗ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Довідка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звернення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захистом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в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Україні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П74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Паспорт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громадянина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СРСР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зразка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1974 року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СВІ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Свідоцтво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народження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іноземної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держави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#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VDocType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Тип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військового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документу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Військовий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квиток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5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Номер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в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ЄДРВ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Посвідчення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приписку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4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Службове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посвідчення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Тимчасове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посвідчення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7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Військово-обліковий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документ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#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isVyisk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Військовозобов'язаний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Військовозобов'язаний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Не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військовозобов'язаний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Призовник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Резервіст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OpType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Категорія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обліку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місця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проживання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місця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проживання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одночасним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Внесення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відомостей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адресу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МП на ТОТ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реєстрації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11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місця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перебування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14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Декларування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МП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15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Декларування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МП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одночасним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зняттям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Внесення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історичних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відомостей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#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OpReason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Підстава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101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особи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законного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представника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103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представника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дорученню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204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власника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житла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205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ТО/ТП ДМС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206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органу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опіки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та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піклування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,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соцустанови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207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суду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208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смерті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209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Інші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підстави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210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ТГ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зняття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#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OpReasonDoc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Підстава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-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документ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1001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Документ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право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власності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1002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Ордер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1003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Договір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оренди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(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найму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)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1004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Договір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найму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гуртожитку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1005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Згода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власника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(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співвласників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житла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)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1006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Згода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наймача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та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членів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його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сім'ї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1007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Згода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уповноваженої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особи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житла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1008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Довідка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прийняття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обслуговування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в спец.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установі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1009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Посвідчення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взяття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облік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бездомної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1010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Письмова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згода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іпотекодержателя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довірчого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власника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1011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суду -Про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надання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особі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права на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вселення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житлового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приміщення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1012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суду -Про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визнання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за особою права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користування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житлом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1013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суду -Про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визнання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за особою права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власності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житлове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приміщення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1014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суду -Про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визнання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за особою права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місця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проживання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1015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ДІЯ Е-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декларування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(ERA)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1016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ДІЯ Е-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(ER)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1017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ДІЯ Е-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малятко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(EM)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1018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ДІЯ Е-14 (E14)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1020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Довідка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військової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частини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1021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ДІЯ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учтонення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реєстраційних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даних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1022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Відомості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що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підтверджують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минулому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1030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Свідоцтво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народження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2001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2002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ТО ДМС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оформлення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документів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для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виїзду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ПМП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2003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ЗДУ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оформлення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документів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для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залишення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ПМП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2004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вимогу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власника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2005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Закінчення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строку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договору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оренди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2006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припинення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підстав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для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перебування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іноземців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та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осіб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gram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без гром</w:t>
            </w:r>
            <w:proofErr w:type="gram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.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2007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Скасування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рішення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набуття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припинення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громадянства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Укр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.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2008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втрату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підстав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для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отримання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особою соц.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послуг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2009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при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усиновленні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та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зміні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ПІБ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2010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позбавлення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права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власності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користування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житлом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2011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з РМП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2012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визнання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безвісно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відсутньою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оголош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.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її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померлою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2013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Відомості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державну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смерті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ДРАЦС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2014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ТО/ТП ДМС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із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зазн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.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реквізитів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паспортного док.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померлої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док. про смерть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іноземної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держави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2015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Свідоцтво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смерть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2016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Закінчення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/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припинення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навчання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в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закладі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освіти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2017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Інші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підстави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припинення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права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користування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житлом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2018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уповноваженої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житла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закладу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освіти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2020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Дані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отримані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ДРВ ЦВК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2021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Оформлення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документів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для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залишення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на ПМП</w:t>
            </w: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2030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Електронне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ТГ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2031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Письмове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ТГ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зняття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2032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Про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виселення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3001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Одночасно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реєстрацією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МП в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громаді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3002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Довнесення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інформації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про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дитину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за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заявою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батьків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3003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в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орган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ДМС 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#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OpChNameReason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Підстава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зміни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імені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/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документа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уповноваженої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ЄДДР/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органу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ДМС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/>
                <w:bCs/>
                <w:spacing w:val="-1"/>
                <w:lang w:val="en-CA"/>
              </w:rPr>
              <w:t>#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OpUpdateReason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Підстава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виправлення</w:t>
            </w:r>
            <w:proofErr w:type="spellEnd"/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10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Заява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особи, законного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представника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або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>уповноваженої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ru-RU"/>
              </w:rPr>
              <w:t xml:space="preserve"> особи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20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ЄДДР/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органу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ДМС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21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ДІЯ</w:t>
            </w:r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30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Виявлено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органом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</w:t>
            </w: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реєстрації</w:t>
            </w:r>
            <w:proofErr w:type="spellEnd"/>
          </w:p>
        </w:tc>
      </w:tr>
      <w:tr w:rsidR="00720B9C" w:rsidRPr="009408CD" w:rsidTr="00720B9C">
        <w:trPr>
          <w:trHeight w:val="2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40</w:t>
            </w:r>
          </w:p>
        </w:tc>
        <w:tc>
          <w:tcPr>
            <w:tcW w:w="0" w:type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720B9C" w:rsidRPr="009408CD" w:rsidRDefault="00720B9C" w:rsidP="00720B9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en-CA"/>
              </w:rPr>
            </w:pPr>
            <w:proofErr w:type="spellStart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>Повідомлення</w:t>
            </w:r>
            <w:proofErr w:type="spellEnd"/>
            <w:r w:rsidRPr="009408CD">
              <w:rPr>
                <w:rFonts w:ascii="Times New Roman" w:hAnsi="Times New Roman"/>
                <w:bCs/>
                <w:spacing w:val="-1"/>
                <w:lang w:val="en-CA"/>
              </w:rPr>
              <w:t xml:space="preserve"> ВОМІРМП ДМС</w:t>
            </w:r>
          </w:p>
        </w:tc>
      </w:tr>
    </w:tbl>
    <w:p w:rsidR="00720B9C" w:rsidRDefault="00720B9C" w:rsidP="00720B9C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b/>
          <w:color w:val="000000"/>
        </w:rPr>
      </w:pPr>
    </w:p>
    <w:p w:rsidR="00720B9C" w:rsidRPr="002E5952" w:rsidRDefault="00720B9C" w:rsidP="00720B9C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4. </w:t>
      </w:r>
      <w:r w:rsidRPr="002E5952">
        <w:rPr>
          <w:rFonts w:ascii="Times New Roman" w:eastAsia="Times New Roman" w:hAnsi="Times New Roman"/>
          <w:b/>
          <w:color w:val="000000"/>
        </w:rPr>
        <w:t>Запровадити нові автоматизовані перевірки даних</w:t>
      </w:r>
    </w:p>
    <w:p w:rsidR="00720B9C" w:rsidRPr="002E5952" w:rsidRDefault="00720B9C" w:rsidP="00720B9C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b/>
          <w:color w:val="000000"/>
        </w:rPr>
      </w:pPr>
      <w:r w:rsidRPr="002E5952">
        <w:rPr>
          <w:rFonts w:ascii="Times New Roman" w:eastAsia="Times New Roman" w:hAnsi="Times New Roman"/>
          <w:b/>
          <w:color w:val="000000"/>
        </w:rPr>
        <w:br/>
      </w:r>
      <w:r w:rsidRPr="002E5952">
        <w:rPr>
          <w:rFonts w:ascii="Times New Roman" w:eastAsia="Times New Roman" w:hAnsi="Times New Roman"/>
          <w:bCs/>
          <w:color w:val="000000"/>
        </w:rPr>
        <w:t>4.1. Провести аналіз відповідей ДМС на запити щодо актуалізації інформації про мешканця, які надсилає ВІС ДМС.</w:t>
      </w:r>
    </w:p>
    <w:p w:rsidR="00720B9C" w:rsidRPr="002E5952" w:rsidRDefault="00720B9C" w:rsidP="00720B9C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bCs/>
          <w:color w:val="000000"/>
        </w:rPr>
      </w:pPr>
      <w:r w:rsidRPr="002E5952">
        <w:rPr>
          <w:rFonts w:ascii="Times New Roman" w:eastAsia="Times New Roman" w:hAnsi="Times New Roman"/>
          <w:bCs/>
          <w:color w:val="000000"/>
        </w:rPr>
        <w:t>4.2. Реалізувати перевірку введеної інформації під час збереження персональних даних мешканця.</w:t>
      </w:r>
    </w:p>
    <w:p w:rsidR="00720B9C" w:rsidRPr="002E5952" w:rsidRDefault="00720B9C" w:rsidP="00720B9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2E5952">
        <w:rPr>
          <w:rFonts w:ascii="Times New Roman" w:hAnsi="Times New Roman"/>
          <w:color w:val="000000"/>
          <w:spacing w:val="-1"/>
        </w:rPr>
        <w:t>У разі виявлення суперечностей повідомляти про них користувача програми.</w:t>
      </w:r>
    </w:p>
    <w:p w:rsidR="00720B9C" w:rsidRPr="002E5952" w:rsidRDefault="00720B9C" w:rsidP="00720B9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2E5952">
        <w:rPr>
          <w:rFonts w:ascii="Times New Roman" w:hAnsi="Times New Roman"/>
          <w:color w:val="000000"/>
          <w:spacing w:val="-1"/>
        </w:rPr>
        <w:lastRenderedPageBreak/>
        <w:t xml:space="preserve">Забезпечити блокування надсилання даних з помилками чи </w:t>
      </w:r>
      <w:proofErr w:type="spellStart"/>
      <w:r w:rsidRPr="002E5952">
        <w:rPr>
          <w:rFonts w:ascii="Times New Roman" w:hAnsi="Times New Roman"/>
          <w:color w:val="000000"/>
          <w:spacing w:val="-1"/>
        </w:rPr>
        <w:t>невідповідностями</w:t>
      </w:r>
      <w:proofErr w:type="spellEnd"/>
      <w:r w:rsidRPr="002E5952">
        <w:rPr>
          <w:rFonts w:ascii="Times New Roman" w:hAnsi="Times New Roman"/>
          <w:color w:val="000000"/>
          <w:spacing w:val="-1"/>
        </w:rPr>
        <w:t>.</w:t>
      </w:r>
    </w:p>
    <w:p w:rsidR="00720B9C" w:rsidRPr="002E5952" w:rsidRDefault="00720B9C" w:rsidP="00720B9C">
      <w:pPr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2E5952">
        <w:rPr>
          <w:rFonts w:ascii="Times New Roman" w:hAnsi="Times New Roman"/>
          <w:color w:val="000000"/>
          <w:spacing w:val="-1"/>
        </w:rPr>
        <w:t>4.3. Наявні перевірки введеної інформації у ВІС ДМС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Категорія обліку не відповідає підставі реєстрації - передається пара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OpType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та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OpReason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яка не відповідає схемі реєстраційних операцій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Документ реєстраційної дії не відповідає підставі реєстрації - передається пара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OpReason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та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OpReasonDoc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яка не відповідає схемі реєстраційних операцій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Заповніть поле "Дата скасування" - Якщо не заповнена дата скасування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Заповніть поле "Підстава скасування" - Якщо не заповнена підстава скасування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Заповніть поле "УНЗР" (Постанова КМ №207, пункт 31) - обов’язково для заповнення поле УНЗР для типу документу ПГУ у формі картки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Невірна контрольна сума УНЗР - перевірка контрольної суми УНЗР не пройдена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Невірний УНЗР - надсилається невірний УНЗР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Дата народження не відповідає УНЗР - дата народження не відповідає УНЗР. Для передачі в ВІС ДМС необхідно для таких випадків заповнити відповідні поля.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Невірний РНОКПП  - надсилається невірний РНОКПП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Невірна контрольна сума РНОКПП - перевірка контрольної суми УНЗР не пройдена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Дата народження не відповідає РНОКПП - дата народження не відповідає РНОКПП. Для передачі в ВІС ДМС необхідно для таких випадків заповнити відповідні поля.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За свідоцтвом про народження дозволено проводити реєстраційну операцію особам віком до 16 років - згідно постанови КМУ № 265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Довжина номеру "ІД картка" - 9 цифр - перевірка довжини номеру документа ПГУ у формі картки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Довжина номеру "Паспорт" - 6 цифр, серія - 2 літери - перевірка довжини номеру та серії документа ПГУ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Номер свідоцтва про народження України - 6 цифр - перевірка довжини номеру документа свідоцтва про народження України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Громадянство {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PersCitiz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} не відповідає словнику - громадянство {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PersCitiz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} передається не згідно документації.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Заповніть поле "Громадянство" згідно документу - помилка виникає, наприклад передається інформація про документ наприклад ПТП а громадянство UKR.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Дата документа особи обов'язкова для заповнення - обов’язково для заповнення дата видачі документа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Заповніть "дійсний до" документа особи - обов’язково для заповнення дата до документа для документів з кінцевою датою.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Для даного типу документа громадянство повинно бути "України" - якщо документи ІД,ПГУ, ТПГУ, СВ то с такими документами реєструються громадяни України.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Тип документа особи {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DocType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} не відповідає словнику - тип документа {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DocType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} передається не згідно документації.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Некоректно вказано тип категорії обліку -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OpTypе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повинен бути заповнений згідно документації.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Для реєстраційних операцій поле "Дата зняття з реєстрації" не заповнюється - невірно заповнено поле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RegEnd</w:t>
      </w:r>
      <w:proofErr w:type="spellEnd"/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Поле "Дата зняття з реєстрації" має бути заповнено - для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OpTypе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= 30 та 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OpTypе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= 32 поле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RegEnd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має бути заповненим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Поле 'Підстава реєстрації/зняття' має бути заповнено - не заповнено поле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OpReason</w:t>
      </w:r>
      <w:proofErr w:type="spellEnd"/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Поле 'Документи реєстраційної дії' має бути заповнено - не заповнено поле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OpReasonDoc</w:t>
      </w:r>
      <w:proofErr w:type="spellEnd"/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"Дата реєстрації" не повинна бути пізніше ніж {дата} для даного типу "Підстава - документ - для реєстраційних операцій, дата реєстрації яких більше 07.02.2023 повинні бути заповнені усі підстави та документи реєстраційної дії згідно схеми, а не просто передавати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OpReason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= 209 та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OpReasonDoc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= 1022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"Дата реєстрації до" не може бути меншою за дату реєстрації' - при заповненні поля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RegTill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воно не може бути менше ніж дата реєстрації.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"Дата актуалізації" не може бути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ранішою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за дату реєстрації - при заповненні поля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OpUpdateDate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воно не може бути менше ніж дата реєстрації.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"Дата актуалізації" не може бути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ранішою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за дату зняття з реєстрації - при заповненні поля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OpUpdateDate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воно не може бути менше ніж дата зняття.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lastRenderedPageBreak/>
        <w:t>"Дата смерті або а/з" повинна бути вказаною - якщо підстава зняття МП по смерті, то дата смерті або дата актового запису повинна бути вказаною.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"Дата смерті або а/з" може бути вказаною тільки при знятті з реєстрації - дата смерті вказується тільки для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OpTypе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= 30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Дата народження не може бути більшою за дату смерті - коли дата народження приходить більше ніж дата смерті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Дата народження не може бути більшою за дату видачі документа - коли дата видачі документа раніше ніж дата народження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"Дата реєстрації" обов'язкова для заповнення - обов’язково заповнювати дату реєстрації, окрім коли особа померла або є рішення суду, або заява власника житла або є інші підстави..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Неприпустима дата реєстрації - коли дата реєстрації починається раніше ніж особа взагалі народилась.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Документ особи обов'язковий для заповнення - документ особи обов’язковий для заповнення.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Дата видачі документа не може бути більшою за дату операції - неможливо реєструвати осіб за документами дата видачі яких більше ніж дата реєстрації крім відомостей, що підтверджують реєстрацію у минулому.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"Дата зміни імені/документу" не може бути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ранішою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за дату реєстрації - неможливо щоб документ змінився раніше ніж дата реєстрації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Дата видачі документа не може бути більшою за дату зняття з реєстрації - неможливо зняти за документом, дата видачі якого більше ніж дата зняття з реєстрації. Якщо невідомий попередній документ, то необхідно надсилати як історичні відомості (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OpType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= ‘32’).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Неприпустима дата зняття з реєстрації - в картці історичних відомостей необхідно заповнити 2 дати: дату реєстрації та дату зняття з реєстрації.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Картка скасована - коли здійснюється реєстраційна операція на скасовану картку. Для того, щоб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внести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інформацію, необхідно надіслати новий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SourceId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, так якщо картка скасована, то відновити її неможливо.</w:t>
      </w:r>
    </w:p>
    <w:p w:rsidR="00720B9C" w:rsidRPr="002E5952" w:rsidRDefault="00720B9C" w:rsidP="00720B9C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У ВІС ДМС відсутня інформація про реєстрацію особи. Зміна імені/документу не прийнято. - коли надсилається інформація з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CardType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= 13, але по даній реєстрації немає реєстраційної картки з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CardType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= 10 або </w:t>
      </w:r>
      <w:proofErr w:type="spellStart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CardType</w:t>
      </w:r>
      <w:proofErr w:type="spellEnd"/>
      <w:r w:rsidRPr="002E5952"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= 12</w:t>
      </w:r>
    </w:p>
    <w:p w:rsidR="00720B9C" w:rsidRPr="001E4855" w:rsidRDefault="00720B9C" w:rsidP="00720B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20B9C" w:rsidRPr="0086415A" w:rsidRDefault="00720B9C" w:rsidP="00720B9C">
      <w:p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>Відповідно до свідоцтва про реєстрацію авторського права на твір № 59464 від 29.04.2015  авторські майнові права на комп’ютерну програму «Програмний комплекс по обліку комунальних послуг «</w:t>
      </w:r>
      <w:proofErr w:type="spellStart"/>
      <w:r w:rsidRPr="0086415A">
        <w:rPr>
          <w:rFonts w:ascii="Times New Roman" w:hAnsi="Times New Roman"/>
        </w:rPr>
        <w:t>Visual</w:t>
      </w:r>
      <w:proofErr w:type="spellEnd"/>
      <w:r w:rsidRPr="0086415A">
        <w:rPr>
          <w:rFonts w:ascii="Times New Roman" w:hAnsi="Times New Roman"/>
        </w:rPr>
        <w:t xml:space="preserve"> </w:t>
      </w:r>
      <w:proofErr w:type="spellStart"/>
      <w:r w:rsidRPr="0086415A">
        <w:rPr>
          <w:rFonts w:ascii="Times New Roman" w:hAnsi="Times New Roman"/>
        </w:rPr>
        <w:t>Service</w:t>
      </w:r>
      <w:proofErr w:type="spellEnd"/>
      <w:r w:rsidRPr="0086415A">
        <w:rPr>
          <w:rFonts w:ascii="Times New Roman" w:hAnsi="Times New Roman"/>
        </w:rPr>
        <w:t xml:space="preserve">» належать Євчину Руслану Мироновичу, </w:t>
      </w:r>
      <w:proofErr w:type="spellStart"/>
      <w:r w:rsidRPr="0086415A">
        <w:rPr>
          <w:rFonts w:ascii="Times New Roman" w:hAnsi="Times New Roman"/>
        </w:rPr>
        <w:t>Щербію</w:t>
      </w:r>
      <w:proofErr w:type="spellEnd"/>
      <w:r w:rsidRPr="0086415A">
        <w:rPr>
          <w:rFonts w:ascii="Times New Roman" w:hAnsi="Times New Roman"/>
        </w:rPr>
        <w:t xml:space="preserve"> Андрію Богдановичу та </w:t>
      </w:r>
      <w:proofErr w:type="spellStart"/>
      <w:r w:rsidRPr="0086415A">
        <w:rPr>
          <w:rFonts w:ascii="Times New Roman" w:hAnsi="Times New Roman"/>
        </w:rPr>
        <w:t>Якуб’яку</w:t>
      </w:r>
      <w:proofErr w:type="spellEnd"/>
      <w:r w:rsidRPr="0086415A">
        <w:rPr>
          <w:rFonts w:ascii="Times New Roman" w:hAnsi="Times New Roman"/>
        </w:rPr>
        <w:t xml:space="preserve"> Володимиру Васильовичу. Вказана комп'ютерна програма захищена правами інтелектуальної власності згідно ЗУ «Про авторське право i </w:t>
      </w:r>
      <w:proofErr w:type="spellStart"/>
      <w:r w:rsidRPr="0086415A">
        <w:rPr>
          <w:rFonts w:ascii="Times New Roman" w:hAnsi="Times New Roman"/>
        </w:rPr>
        <w:t>cyміжнi</w:t>
      </w:r>
      <w:proofErr w:type="spellEnd"/>
      <w:r w:rsidRPr="0086415A">
        <w:rPr>
          <w:rFonts w:ascii="Times New Roman" w:hAnsi="Times New Roman"/>
        </w:rPr>
        <w:t xml:space="preserve"> права».</w:t>
      </w:r>
    </w:p>
    <w:p w:rsidR="00720B9C" w:rsidRPr="0086415A" w:rsidRDefault="00720B9C" w:rsidP="00720B9C">
      <w:p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 xml:space="preserve">Відповідно до ліцензійного договору ВС/2022-02/1 від 15.02.2022 року Ліцензіар - власник майнових прав інтелектуальної власності на </w:t>
      </w:r>
      <w:proofErr w:type="spellStart"/>
      <w:r w:rsidRPr="0086415A">
        <w:rPr>
          <w:rFonts w:ascii="Times New Roman" w:hAnsi="Times New Roman"/>
        </w:rPr>
        <w:t>компʼютерну</w:t>
      </w:r>
      <w:proofErr w:type="spellEnd"/>
      <w:r w:rsidRPr="0086415A">
        <w:rPr>
          <w:rFonts w:ascii="Times New Roman" w:hAnsi="Times New Roman"/>
        </w:rPr>
        <w:t xml:space="preserve"> програму "</w:t>
      </w:r>
      <w:proofErr w:type="spellStart"/>
      <w:r w:rsidRPr="0086415A">
        <w:rPr>
          <w:rFonts w:ascii="Times New Roman" w:hAnsi="Times New Roman"/>
        </w:rPr>
        <w:t>VisualService</w:t>
      </w:r>
      <w:proofErr w:type="spellEnd"/>
      <w:r w:rsidRPr="0086415A">
        <w:rPr>
          <w:rFonts w:ascii="Times New Roman" w:hAnsi="Times New Roman"/>
        </w:rPr>
        <w:t>" (свідоцтво про реєстрацію авторського права на твір No59464 від 29.04.2015р.) надає Ліцензіатові - ТзОВ «ТЕХНОІНФОСОФТ» дозвіл на невиключну Ліцензію</w:t>
      </w:r>
      <w:r>
        <w:rPr>
          <w:rFonts w:ascii="Times New Roman" w:hAnsi="Times New Roman"/>
        </w:rPr>
        <w:t xml:space="preserve">. </w:t>
      </w:r>
      <w:r w:rsidRPr="0086415A">
        <w:rPr>
          <w:rFonts w:ascii="Times New Roman" w:hAnsi="Times New Roman"/>
        </w:rPr>
        <w:t xml:space="preserve">Враховуючи вищенаведене послуги технічної підтримки </w:t>
      </w:r>
      <w:r>
        <w:rPr>
          <w:rFonts w:ascii="Times New Roman" w:hAnsi="Times New Roman"/>
        </w:rPr>
        <w:t xml:space="preserve">та модернізації </w:t>
      </w:r>
      <w:proofErr w:type="spellStart"/>
      <w:r w:rsidRPr="0086415A">
        <w:rPr>
          <w:rFonts w:ascii="Times New Roman" w:hAnsi="Times New Roman"/>
        </w:rPr>
        <w:t>компʼютерної</w:t>
      </w:r>
      <w:proofErr w:type="spellEnd"/>
      <w:r w:rsidRPr="0086415A">
        <w:rPr>
          <w:rFonts w:ascii="Times New Roman" w:hAnsi="Times New Roman"/>
        </w:rPr>
        <w:t xml:space="preserve"> програми "</w:t>
      </w:r>
      <w:proofErr w:type="spellStart"/>
      <w:r w:rsidRPr="0086415A">
        <w:rPr>
          <w:rFonts w:ascii="Times New Roman" w:hAnsi="Times New Roman"/>
        </w:rPr>
        <w:t>VisualService</w:t>
      </w:r>
      <w:proofErr w:type="spellEnd"/>
      <w:r w:rsidRPr="0086415A">
        <w:rPr>
          <w:rFonts w:ascii="Times New Roman" w:hAnsi="Times New Roman"/>
        </w:rPr>
        <w:t>" можуть надаватись лише єдиним ліцензіатом, тобто виконавцем, яким являється ТзОВ «ТЕХНОІНФОСОФТ», компанією, якій автори надали дозвіл на невиключне право на використання (ліцензію) на комп'ютерну програму «</w:t>
      </w:r>
      <w:proofErr w:type="spellStart"/>
      <w:r w:rsidRPr="0086415A">
        <w:rPr>
          <w:rFonts w:ascii="Times New Roman" w:hAnsi="Times New Roman"/>
        </w:rPr>
        <w:t>Visual</w:t>
      </w:r>
      <w:proofErr w:type="spellEnd"/>
      <w:r w:rsidRPr="0086415A">
        <w:rPr>
          <w:rFonts w:ascii="Times New Roman" w:hAnsi="Times New Roman"/>
        </w:rPr>
        <w:t xml:space="preserve"> </w:t>
      </w:r>
      <w:proofErr w:type="spellStart"/>
      <w:r w:rsidRPr="0086415A">
        <w:rPr>
          <w:rFonts w:ascii="Times New Roman" w:hAnsi="Times New Roman"/>
        </w:rPr>
        <w:t>Service</w:t>
      </w:r>
      <w:proofErr w:type="spellEnd"/>
      <w:r w:rsidRPr="0086415A">
        <w:rPr>
          <w:rFonts w:ascii="Times New Roman" w:hAnsi="Times New Roman"/>
        </w:rPr>
        <w:t>» відповідно до ліцензійного договору № BC/2022-02/1 від 15.02.2024 (пп.1.1, 1,7).</w:t>
      </w:r>
    </w:p>
    <w:p w:rsidR="00720B9C" w:rsidRDefault="00720B9C" w:rsidP="00720B9C">
      <w:p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 xml:space="preserve">Закупівля </w:t>
      </w:r>
      <w:r w:rsidRPr="00064E70">
        <w:rPr>
          <w:rFonts w:ascii="Times New Roman" w:hAnsi="Times New Roman"/>
        </w:rPr>
        <w:t>«Послуги з технічного супроводу та модернізації функціоналу реєстру територіальної громад (ДК 021:2015: 72250000-2: Послуги, пов’язані із системами та підтримкою)»</w:t>
      </w:r>
      <w:r>
        <w:rPr>
          <w:rFonts w:ascii="Times New Roman" w:hAnsi="Times New Roman"/>
        </w:rPr>
        <w:t xml:space="preserve"> </w:t>
      </w:r>
      <w:r w:rsidRPr="00064E70">
        <w:rPr>
          <w:rFonts w:ascii="Times New Roman" w:hAnsi="Times New Roman"/>
        </w:rPr>
        <w:t>на виконання п. 10 Кошторису Програми цифрового перетворення Львівської міської територіальної громади на 2025 рік, затвердженого рішенням виконавчого комітету Львівської міської ради від 24.01.2025 № 41 «Про затвердження на 2025 рік кошторису Програми цифрового перетворення Львівської міської територіальної громади на 2021-2025 роки» (</w:t>
      </w:r>
      <w:hyperlink r:id="rId5" w:history="1">
        <w:r w:rsidRPr="007670CB">
          <w:rPr>
            <w:rFonts w:ascii="Times New Roman" w:hAnsi="Times New Roman"/>
          </w:rPr>
          <w:t>https://www8.city-adm.lviv.ua/Pool/Info/doclmr_1.NSF/(SearchForWeb)/E3756908243453A6C2258C1F004AD706?OpenDocument)</w:t>
        </w:r>
      </w:hyperlink>
      <w:r w:rsidRPr="00064E70">
        <w:rPr>
          <w:rFonts w:ascii="Times New Roman" w:hAnsi="Times New Roman"/>
        </w:rPr>
        <w:t>.</w:t>
      </w:r>
    </w:p>
    <w:p w:rsidR="00720B9C" w:rsidRPr="0086415A" w:rsidRDefault="00720B9C" w:rsidP="00720B9C">
      <w:p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:rsidR="00720B9C" w:rsidRPr="0086415A" w:rsidRDefault="00720B9C" w:rsidP="00720B9C">
      <w:p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>- свідоцтва про реєстрацію авторського права на твір № 59464 від 29.04.2015;</w:t>
      </w:r>
    </w:p>
    <w:p w:rsidR="00720B9C" w:rsidRPr="007670CB" w:rsidRDefault="00720B9C" w:rsidP="00720B9C">
      <w:p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86415A">
        <w:rPr>
          <w:rFonts w:ascii="Times New Roman" w:hAnsi="Times New Roman"/>
        </w:rPr>
        <w:t>- ліцензійний договір № BC/2022-02/1 від 15.02.2022. </w:t>
      </w:r>
      <w:r w:rsidRPr="0086415A">
        <w:rPr>
          <w:rFonts w:ascii="Times New Roman" w:eastAsia="Times New Roman" w:hAnsi="Times New Roman"/>
          <w:sz w:val="24"/>
          <w:szCs w:val="24"/>
        </w:rPr>
        <w:tab/>
      </w:r>
    </w:p>
    <w:p w:rsidR="00C94992" w:rsidRPr="00C94992" w:rsidRDefault="00C94992" w:rsidP="00C94992">
      <w:p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C94992">
        <w:rPr>
          <w:b/>
        </w:rPr>
        <w:t>4</w:t>
      </w:r>
      <w:r w:rsidR="00720B9C" w:rsidRPr="00C94992">
        <w:rPr>
          <w:b/>
        </w:rPr>
        <w:t>. Очікувана вартість та/або розмір бюджетного призначення:</w:t>
      </w:r>
      <w:r w:rsidR="00720B9C">
        <w:t xml:space="preserve"> - </w:t>
      </w:r>
      <w:r w:rsidR="00720B9C" w:rsidRPr="00C94992">
        <w:rPr>
          <w:rFonts w:ascii="Times New Roman" w:hAnsi="Times New Roman"/>
        </w:rPr>
        <w:t xml:space="preserve">Очікувана вартість закупівлі становить - 349 600,00 грн. без ПДВ 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</w:t>
      </w:r>
      <w:r w:rsidR="00720B9C" w:rsidRPr="00C94992">
        <w:rPr>
          <w:rFonts w:ascii="Times New Roman" w:hAnsi="Times New Roman"/>
        </w:rPr>
        <w:lastRenderedPageBreak/>
        <w:t>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175B84" w:rsidRDefault="00720B9C" w:rsidP="00C94992">
      <w:pPr>
        <w:spacing w:after="0" w:line="240" w:lineRule="auto"/>
        <w:ind w:left="-142" w:firstLine="426"/>
        <w:jc w:val="both"/>
      </w:pPr>
      <w:r w:rsidRPr="00C94992">
        <w:rPr>
          <w:rFonts w:ascii="Times New Roman" w:hAnsi="Times New Roman"/>
        </w:rPr>
        <w:t xml:space="preserve"> Для визначення вартості предмета закупівлі бул</w:t>
      </w:r>
      <w:r w:rsidR="00C94992" w:rsidRPr="00C94992">
        <w:rPr>
          <w:rFonts w:ascii="Times New Roman" w:hAnsi="Times New Roman"/>
        </w:rPr>
        <w:t>о враховано</w:t>
      </w:r>
      <w:r w:rsidR="00C94992" w:rsidRPr="00C94992">
        <w:rPr>
          <w:rFonts w:ascii="Times New Roman" w:hAnsi="Times New Roman"/>
        </w:rPr>
        <w:t xml:space="preserve"> 10 Кошторису Програми цифрового перетворення Львівської міської територіальної громади на 2025 рік, затвердженого рішенням виконавчого комітету Львівської міської ради від 24.01</w:t>
      </w:r>
      <w:bookmarkStart w:id="0" w:name="_GoBack"/>
      <w:bookmarkEnd w:id="0"/>
      <w:r w:rsidR="00C94992" w:rsidRPr="00C94992">
        <w:rPr>
          <w:rFonts w:ascii="Times New Roman" w:hAnsi="Times New Roman"/>
        </w:rPr>
        <w:t>.2025 № 41 «Про затвердження на 2025 рік кошторису Програми цифрового перетворення Львівської міської територіальної</w:t>
      </w:r>
      <w:r w:rsidR="00C94992" w:rsidRPr="007670CB">
        <w:rPr>
          <w:rFonts w:ascii="Times New Roman" w:eastAsiaTheme="minorHAnsi" w:hAnsi="Times New Roman" w:cstheme="minorBidi"/>
        </w:rPr>
        <w:t xml:space="preserve"> громади на 2021-2025 роки» (</w:t>
      </w:r>
      <w:hyperlink r:id="rId6" w:history="1">
        <w:r w:rsidR="00C94992" w:rsidRPr="007670CB">
          <w:rPr>
            <w:rFonts w:ascii="Times New Roman" w:eastAsiaTheme="minorHAnsi" w:hAnsi="Times New Roman" w:cstheme="minorBidi"/>
          </w:rPr>
          <w:t>https://www8.city-adm.lviv.ua/Pool/Info/doclmr_1.NSF/(SearchForWeb)/E3756908243453A6C2258C1F004AD706?OpenDocument )</w:t>
        </w:r>
      </w:hyperlink>
      <w:r w:rsidR="00C94992">
        <w:rPr>
          <w:rFonts w:ascii="Times New Roman" w:eastAsiaTheme="minorHAnsi" w:hAnsi="Times New Roman" w:cstheme="minorBidi"/>
        </w:rPr>
        <w:t>, зокрема кошторисні призначення на 2025 рік.</w:t>
      </w:r>
    </w:p>
    <w:sectPr w:rsidR="00175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3EE7"/>
    <w:multiLevelType w:val="multilevel"/>
    <w:tmpl w:val="D314670E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525F03"/>
    <w:multiLevelType w:val="multilevel"/>
    <w:tmpl w:val="88C43F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FC2152B"/>
    <w:multiLevelType w:val="multilevel"/>
    <w:tmpl w:val="AB6246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2D67754"/>
    <w:multiLevelType w:val="multilevel"/>
    <w:tmpl w:val="B23E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218BE"/>
    <w:multiLevelType w:val="multilevel"/>
    <w:tmpl w:val="B1022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5" w15:restartNumberingAfterBreak="0">
    <w:nsid w:val="359A11A1"/>
    <w:multiLevelType w:val="multilevel"/>
    <w:tmpl w:val="B23E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A29F2"/>
    <w:multiLevelType w:val="hybridMultilevel"/>
    <w:tmpl w:val="D624B46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B6F08"/>
    <w:multiLevelType w:val="multilevel"/>
    <w:tmpl w:val="B170C110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92A1F5B"/>
    <w:multiLevelType w:val="multilevel"/>
    <w:tmpl w:val="4696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B41F1"/>
    <w:multiLevelType w:val="multilevel"/>
    <w:tmpl w:val="1408EE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FBE78A0"/>
    <w:multiLevelType w:val="multilevel"/>
    <w:tmpl w:val="E62A79C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6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1" w15:restartNumberingAfterBreak="0">
    <w:nsid w:val="518C3E5F"/>
    <w:multiLevelType w:val="multilevel"/>
    <w:tmpl w:val="2786AB60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1F86745"/>
    <w:multiLevelType w:val="hybridMultilevel"/>
    <w:tmpl w:val="52200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55884"/>
    <w:multiLevelType w:val="multilevel"/>
    <w:tmpl w:val="B23E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0D1D09"/>
    <w:multiLevelType w:val="multilevel"/>
    <w:tmpl w:val="410CD8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7"/>
  </w:num>
  <w:num w:numId="6">
    <w:abstractNumId w:val="14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  <w:num w:numId="12">
    <w:abstractNumId w:val="13"/>
  </w:num>
  <w:num w:numId="13">
    <w:abstractNumId w:val="5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D7"/>
    <w:rsid w:val="00175B84"/>
    <w:rsid w:val="00720B9C"/>
    <w:rsid w:val="00C94992"/>
    <w:rsid w:val="00D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FAF0"/>
  <w15:chartTrackingRefBased/>
  <w15:docId w15:val="{8CD2CC4B-184A-4F24-BC2F-C30A5591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0B9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uk-UA"/>
    </w:rPr>
  </w:style>
  <w:style w:type="paragraph" w:styleId="2">
    <w:name w:val="heading 2"/>
    <w:basedOn w:val="a"/>
    <w:link w:val="20"/>
    <w:uiPriority w:val="9"/>
    <w:unhideWhenUsed/>
    <w:qFormat/>
    <w:rsid w:val="00720B9C"/>
    <w:pPr>
      <w:widowControl w:val="0"/>
      <w:autoSpaceDE w:val="0"/>
      <w:autoSpaceDN w:val="0"/>
      <w:spacing w:after="0" w:line="240" w:lineRule="auto"/>
      <w:ind w:left="144"/>
      <w:jc w:val="both"/>
      <w:outlineLvl w:val="1"/>
    </w:pPr>
    <w:rPr>
      <w:rFonts w:ascii="Times New Roman" w:eastAsia="Times New Roman" w:hAnsi="Times New Roman"/>
      <w:sz w:val="25"/>
      <w:szCs w:val="25"/>
    </w:rPr>
  </w:style>
  <w:style w:type="paragraph" w:styleId="3">
    <w:name w:val="heading 3"/>
    <w:basedOn w:val="a"/>
    <w:next w:val="a"/>
    <w:link w:val="30"/>
    <w:uiPriority w:val="9"/>
    <w:unhideWhenUsed/>
    <w:qFormat/>
    <w:rsid w:val="00720B9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720B9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0"/>
      <w:szCs w:val="20"/>
      <w:lang w:eastAsia="uk-UA"/>
    </w:rPr>
  </w:style>
  <w:style w:type="paragraph" w:styleId="5">
    <w:name w:val="heading 5"/>
    <w:basedOn w:val="a"/>
    <w:next w:val="a"/>
    <w:link w:val="50"/>
    <w:unhideWhenUsed/>
    <w:qFormat/>
    <w:rsid w:val="00720B9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0"/>
      <w:szCs w:val="20"/>
      <w:lang w:eastAsia="uk-UA"/>
    </w:rPr>
  </w:style>
  <w:style w:type="paragraph" w:styleId="6">
    <w:name w:val="heading 6"/>
    <w:basedOn w:val="a"/>
    <w:next w:val="a"/>
    <w:link w:val="60"/>
    <w:unhideWhenUsed/>
    <w:qFormat/>
    <w:rsid w:val="00720B9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B9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0"/>
      <w:szCs w:val="20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B9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B9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B9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20B9C"/>
    <w:rPr>
      <w:rFonts w:ascii="Times New Roman" w:eastAsia="Times New Roman" w:hAnsi="Times New Roman" w:cs="Times New Roman"/>
      <w:sz w:val="25"/>
      <w:szCs w:val="25"/>
    </w:rPr>
  </w:style>
  <w:style w:type="character" w:customStyle="1" w:styleId="30">
    <w:name w:val="Заголовок 3 Знак"/>
    <w:basedOn w:val="a0"/>
    <w:link w:val="3"/>
    <w:uiPriority w:val="9"/>
    <w:rsid w:val="00720B9C"/>
    <w:rPr>
      <w:rFonts w:ascii="Calibri" w:eastAsiaTheme="majorEastAsia" w:hAnsi="Calibri" w:cstheme="majorBidi"/>
      <w:color w:val="2E74B5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720B9C"/>
    <w:rPr>
      <w:rFonts w:ascii="Calibri" w:eastAsiaTheme="majorEastAsia" w:hAnsi="Calibri" w:cstheme="majorBidi"/>
      <w:i/>
      <w:iCs/>
      <w:color w:val="2E74B5" w:themeColor="accent1" w:themeShade="BF"/>
      <w:sz w:val="20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720B9C"/>
    <w:rPr>
      <w:rFonts w:ascii="Calibri" w:eastAsiaTheme="majorEastAsia" w:hAnsi="Calibri" w:cstheme="majorBidi"/>
      <w:color w:val="2E74B5" w:themeColor="accent1" w:themeShade="BF"/>
      <w:sz w:val="20"/>
      <w:szCs w:val="20"/>
      <w:lang w:eastAsia="uk-UA"/>
    </w:rPr>
  </w:style>
  <w:style w:type="character" w:customStyle="1" w:styleId="60">
    <w:name w:val="Заголовок 6 Знак"/>
    <w:basedOn w:val="a0"/>
    <w:link w:val="6"/>
    <w:rsid w:val="00720B9C"/>
    <w:rPr>
      <w:rFonts w:ascii="Calibri" w:eastAsiaTheme="majorEastAsia" w:hAnsi="Calibri" w:cstheme="majorBidi"/>
      <w:i/>
      <w:iCs/>
      <w:color w:val="595959" w:themeColor="text1" w:themeTint="A6"/>
      <w:sz w:val="20"/>
      <w:szCs w:val="20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720B9C"/>
    <w:rPr>
      <w:rFonts w:ascii="Calibri" w:eastAsiaTheme="majorEastAsia" w:hAnsi="Calibri" w:cstheme="majorBidi"/>
      <w:color w:val="595959" w:themeColor="text1" w:themeTint="A6"/>
      <w:sz w:val="20"/>
      <w:szCs w:val="20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720B9C"/>
    <w:rPr>
      <w:rFonts w:ascii="Calibri" w:eastAsiaTheme="majorEastAsia" w:hAnsi="Calibri" w:cstheme="majorBidi"/>
      <w:i/>
      <w:iCs/>
      <w:color w:val="272727" w:themeColor="text1" w:themeTint="D8"/>
      <w:sz w:val="20"/>
      <w:szCs w:val="20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720B9C"/>
    <w:rPr>
      <w:rFonts w:ascii="Calibri" w:eastAsiaTheme="majorEastAsia" w:hAnsi="Calibri" w:cstheme="majorBidi"/>
      <w:color w:val="272727" w:themeColor="text1" w:themeTint="D8"/>
      <w:sz w:val="20"/>
      <w:szCs w:val="20"/>
      <w:lang w:eastAsia="uk-UA"/>
    </w:rPr>
  </w:style>
  <w:style w:type="paragraph" w:styleId="a3">
    <w:name w:val="Body Text"/>
    <w:basedOn w:val="a"/>
    <w:link w:val="a4"/>
    <w:uiPriority w:val="1"/>
    <w:semiHidden/>
    <w:unhideWhenUsed/>
    <w:qFormat/>
    <w:rsid w:val="00720B9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semiHidden/>
    <w:rsid w:val="00720B9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20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720B9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20B9C"/>
    <w:pPr>
      <w:spacing w:after="0" w:line="240" w:lineRule="auto"/>
      <w:ind w:left="720"/>
      <w:contextualSpacing/>
    </w:pPr>
    <w:rPr>
      <w:rFonts w:cs="Calibri"/>
      <w:sz w:val="20"/>
      <w:szCs w:val="20"/>
      <w:lang w:eastAsia="uk-UA"/>
    </w:rPr>
  </w:style>
  <w:style w:type="character" w:styleId="a8">
    <w:name w:val="Emphasis"/>
    <w:basedOn w:val="a0"/>
    <w:uiPriority w:val="20"/>
    <w:qFormat/>
    <w:rsid w:val="00720B9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2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20B9C"/>
    <w:rPr>
      <w:rFonts w:ascii="Segoe UI" w:eastAsia="Calibri" w:hAnsi="Segoe UI" w:cs="Segoe UI"/>
      <w:sz w:val="18"/>
      <w:szCs w:val="18"/>
    </w:rPr>
  </w:style>
  <w:style w:type="paragraph" w:styleId="ab">
    <w:name w:val="Title"/>
    <w:basedOn w:val="a"/>
    <w:next w:val="a"/>
    <w:link w:val="ac"/>
    <w:qFormat/>
    <w:rsid w:val="0072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uk-UA"/>
    </w:rPr>
  </w:style>
  <w:style w:type="character" w:customStyle="1" w:styleId="ac">
    <w:name w:val="Назва Знак"/>
    <w:basedOn w:val="a0"/>
    <w:link w:val="ab"/>
    <w:rsid w:val="00720B9C"/>
    <w:rPr>
      <w:rFonts w:asciiTheme="majorHAnsi" w:eastAsiaTheme="majorEastAsia" w:hAnsiTheme="majorHAnsi" w:cstheme="majorBidi"/>
      <w:spacing w:val="-10"/>
      <w:kern w:val="28"/>
      <w:sz w:val="56"/>
      <w:szCs w:val="56"/>
      <w:lang w:eastAsia="uk-UA"/>
    </w:rPr>
  </w:style>
  <w:style w:type="paragraph" w:styleId="ad">
    <w:name w:val="Subtitle"/>
    <w:basedOn w:val="a"/>
    <w:next w:val="a"/>
    <w:link w:val="ae"/>
    <w:qFormat/>
    <w:rsid w:val="00720B9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uk-UA"/>
    </w:rPr>
  </w:style>
  <w:style w:type="character" w:customStyle="1" w:styleId="ae">
    <w:name w:val="Підзаголовок Знак"/>
    <w:basedOn w:val="a0"/>
    <w:link w:val="ad"/>
    <w:rsid w:val="00720B9C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eastAsia="uk-UA"/>
    </w:rPr>
  </w:style>
  <w:style w:type="paragraph" w:styleId="af">
    <w:name w:val="Quote"/>
    <w:basedOn w:val="a"/>
    <w:next w:val="a"/>
    <w:link w:val="af0"/>
    <w:uiPriority w:val="29"/>
    <w:qFormat/>
    <w:rsid w:val="00720B9C"/>
    <w:pPr>
      <w:spacing w:before="160" w:after="160" w:line="240" w:lineRule="auto"/>
      <w:jc w:val="center"/>
    </w:pPr>
    <w:rPr>
      <w:rFonts w:cs="Calibri"/>
      <w:i/>
      <w:iCs/>
      <w:color w:val="404040" w:themeColor="text1" w:themeTint="BF"/>
      <w:sz w:val="20"/>
      <w:szCs w:val="20"/>
      <w:lang w:eastAsia="uk-UA"/>
    </w:rPr>
  </w:style>
  <w:style w:type="character" w:customStyle="1" w:styleId="af0">
    <w:name w:val="Цитата Знак"/>
    <w:basedOn w:val="a0"/>
    <w:link w:val="af"/>
    <w:uiPriority w:val="29"/>
    <w:rsid w:val="00720B9C"/>
    <w:rPr>
      <w:rFonts w:ascii="Calibri" w:eastAsia="Calibri" w:hAnsi="Calibri" w:cs="Calibri"/>
      <w:i/>
      <w:iCs/>
      <w:color w:val="404040" w:themeColor="text1" w:themeTint="BF"/>
      <w:sz w:val="20"/>
      <w:szCs w:val="20"/>
      <w:lang w:eastAsia="uk-UA"/>
    </w:rPr>
  </w:style>
  <w:style w:type="character" w:styleId="af1">
    <w:name w:val="Intense Emphasis"/>
    <w:basedOn w:val="a0"/>
    <w:uiPriority w:val="21"/>
    <w:qFormat/>
    <w:rsid w:val="00720B9C"/>
    <w:rPr>
      <w:i/>
      <w:iCs/>
      <w:color w:val="2E74B5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720B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2E74B5" w:themeColor="accent1" w:themeShade="BF"/>
      <w:sz w:val="20"/>
      <w:szCs w:val="20"/>
      <w:lang w:eastAsia="uk-UA"/>
    </w:rPr>
  </w:style>
  <w:style w:type="character" w:customStyle="1" w:styleId="af3">
    <w:name w:val="Насичена цитата Знак"/>
    <w:basedOn w:val="a0"/>
    <w:link w:val="af2"/>
    <w:uiPriority w:val="30"/>
    <w:rsid w:val="00720B9C"/>
    <w:rPr>
      <w:rFonts w:ascii="Calibri" w:eastAsia="Calibri" w:hAnsi="Calibri" w:cs="Calibri"/>
      <w:i/>
      <w:iCs/>
      <w:color w:val="2E74B5" w:themeColor="accent1" w:themeShade="BF"/>
      <w:sz w:val="20"/>
      <w:szCs w:val="20"/>
      <w:lang w:eastAsia="uk-UA"/>
    </w:rPr>
  </w:style>
  <w:style w:type="character" w:styleId="af4">
    <w:name w:val="Intense Reference"/>
    <w:basedOn w:val="a0"/>
    <w:uiPriority w:val="32"/>
    <w:qFormat/>
    <w:rsid w:val="00720B9C"/>
    <w:rPr>
      <w:b/>
      <w:bCs/>
      <w:smallCaps/>
      <w:color w:val="2E74B5" w:themeColor="accent1" w:themeShade="BF"/>
      <w:spacing w:val="5"/>
    </w:rPr>
  </w:style>
  <w:style w:type="table" w:customStyle="1" w:styleId="TableNormal1">
    <w:name w:val="Table Normal1"/>
    <w:rsid w:val="00720B9C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має списку1"/>
    <w:next w:val="a2"/>
    <w:uiPriority w:val="99"/>
    <w:semiHidden/>
    <w:unhideWhenUsed/>
    <w:rsid w:val="00720B9C"/>
  </w:style>
  <w:style w:type="paragraph" w:customStyle="1" w:styleId="xfmc8">
    <w:name w:val="xfmc8"/>
    <w:basedOn w:val="a"/>
    <w:rsid w:val="00720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xfmc9">
    <w:name w:val="xfmc9"/>
    <w:rsid w:val="00720B9C"/>
  </w:style>
  <w:style w:type="character" w:customStyle="1" w:styleId="xfmc10">
    <w:name w:val="xfmc10"/>
    <w:rsid w:val="00720B9C"/>
  </w:style>
  <w:style w:type="paragraph" w:customStyle="1" w:styleId="xfmc2">
    <w:name w:val="xfmc2"/>
    <w:basedOn w:val="a"/>
    <w:rsid w:val="00720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tab-span">
    <w:name w:val="apple-tab-span"/>
    <w:rsid w:val="00720B9C"/>
  </w:style>
  <w:style w:type="paragraph" w:customStyle="1" w:styleId="docdata">
    <w:name w:val="docdata"/>
    <w:aliases w:val="docy,v5,3005,baiaagaaboqcaaadlwcaaawlbwaaaaaaaaaaaaaaaaaaaaaaaaaaaaaaaaaaaaaaaaaaaaaaaaaaaaaaaaaaaaaaaaaaaaaaaaaaaaaaaaaaaaaaaaaaaaaaaaaaaaaaaaaaaaaaaaaaaaaaaaaaaaaaaaaaaaaaaaaaaaaaaaaaaaaaaaaaaaaaaaaaaaaaaaaaaaaaaaaaaaaaaaaaaaaaaaaaaaaaaaaaaaaa"/>
    <w:basedOn w:val="a"/>
    <w:rsid w:val="00720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3380">
    <w:name w:val="3380"/>
    <w:aliases w:val="baiaagaaboqcaaaddakaaauacqaaaaaaaaaaaaaaaaaaaaaaaaaaaaaaaaaaaaaaaaaaaaaaaaaaaaaaaaaaaaaaaaaaaaaaaaaaaaaaaaaaaaaaaaaaaaaaaaaaaaaaaaaaaaaaaaaaaaaaaaaaaaaaaaaaaaaaaaaaaaaaaaaaaaaaaaaaaaaaaaaaaaaaaaaaaaaaaaaaaaaaaaaaaaaaaaaaaaaaaaaaaaaa"/>
    <w:rsid w:val="00720B9C"/>
  </w:style>
  <w:style w:type="paragraph" w:customStyle="1" w:styleId="msonormal0">
    <w:name w:val="msonormal"/>
    <w:basedOn w:val="a"/>
    <w:rsid w:val="00720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1">
    <w:name w:val="Основний текст (2)_"/>
    <w:link w:val="210"/>
    <w:uiPriority w:val="99"/>
    <w:locked/>
    <w:rsid w:val="00720B9C"/>
    <w:rPr>
      <w:rFonts w:ascii="Times New Roman" w:hAnsi="Times New Roman"/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720B9C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eastAsiaTheme="minorHAnsi" w:hAnsi="Times New Roman" w:cstheme="minorBidi"/>
    </w:rPr>
  </w:style>
  <w:style w:type="table" w:styleId="af5">
    <w:name w:val="Table Grid"/>
    <w:basedOn w:val="a1"/>
    <w:uiPriority w:val="39"/>
    <w:rsid w:val="00720B9C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720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720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8.city-adm.lviv.ua/Pool/Info/doclmr_1.NSF/(SearchForWeb)/E3756908243453A6C2258C1F004AD706?OpenDocument%20)" TargetMode="External"/><Relationship Id="rId5" Type="http://schemas.openxmlformats.org/officeDocument/2006/relationships/hyperlink" Target="https://www8.city-adm.lviv.ua/Pool/Info/doclmr_1.NSF/(SearchForWeb)/E3756908243453A6C2258C1F004AD706?OpenDocument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14699</Words>
  <Characters>8379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2025-10-03T03:53:00Z</dcterms:created>
  <dcterms:modified xsi:type="dcterms:W3CDTF">2025-10-03T04:39:00Z</dcterms:modified>
</cp:coreProperties>
</file>