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8E744" w14:textId="41D604AC" w:rsidR="00586941" w:rsidRDefault="00F862CF" w:rsidP="00F862CF">
      <w:pPr>
        <w:spacing w:after="0" w:line="240" w:lineRule="auto"/>
        <w:ind w:left="-567" w:right="-284"/>
        <w:jc w:val="center"/>
        <w:rPr>
          <w:sz w:val="20"/>
          <w:szCs w:val="20"/>
        </w:rPr>
      </w:pPr>
      <w:r>
        <w:rPr>
          <w:sz w:val="20"/>
          <w:szCs w:val="20"/>
        </w:rPr>
        <w:fldChar w:fldCharType="begin"/>
      </w:r>
      <w:r>
        <w:rPr>
          <w:sz w:val="20"/>
          <w:szCs w:val="20"/>
        </w:rPr>
        <w:instrText xml:space="preserve"> HYPERLINK "</w:instrText>
      </w:r>
      <w:r w:rsidRPr="00F862CF">
        <w:rPr>
          <w:sz w:val="20"/>
          <w:szCs w:val="20"/>
        </w:rPr>
        <w:instrText>https://prozorro.gov.ua/uk/tender/UA-2025-10-02-014013-a</w:instrText>
      </w:r>
      <w:r>
        <w:rPr>
          <w:sz w:val="20"/>
          <w:szCs w:val="20"/>
        </w:rPr>
        <w:instrText xml:space="preserve">" </w:instrText>
      </w:r>
      <w:r>
        <w:rPr>
          <w:sz w:val="20"/>
          <w:szCs w:val="20"/>
        </w:rPr>
        <w:fldChar w:fldCharType="separate"/>
      </w:r>
      <w:r w:rsidRPr="00505484">
        <w:rPr>
          <w:rStyle w:val="a3"/>
          <w:sz w:val="20"/>
          <w:szCs w:val="20"/>
        </w:rPr>
        <w:t>https://prozorro.gov.ua/uk/tender/</w:t>
      </w:r>
      <w:bookmarkStart w:id="0" w:name="_GoBack"/>
      <w:r w:rsidRPr="00505484">
        <w:rPr>
          <w:rStyle w:val="a3"/>
          <w:sz w:val="20"/>
          <w:szCs w:val="20"/>
        </w:rPr>
        <w:t>UA-2025-10-02-014013-a</w:t>
      </w:r>
      <w:bookmarkEnd w:id="0"/>
      <w:r>
        <w:rPr>
          <w:sz w:val="20"/>
          <w:szCs w:val="20"/>
        </w:rPr>
        <w:fldChar w:fldCharType="end"/>
      </w:r>
      <w:r>
        <w:rPr>
          <w:sz w:val="20"/>
          <w:szCs w:val="20"/>
        </w:rPr>
        <w:t xml:space="preserve"> </w:t>
      </w:r>
    </w:p>
    <w:p w14:paraId="436CF072" w14:textId="77777777" w:rsidR="0068736F" w:rsidRPr="0068736F" w:rsidRDefault="0068736F" w:rsidP="00F862CF">
      <w:pPr>
        <w:spacing w:after="0" w:line="240" w:lineRule="auto"/>
        <w:ind w:left="-567" w:right="-284"/>
        <w:jc w:val="center"/>
        <w:rPr>
          <w:rFonts w:ascii="Times New Roman" w:hAnsi="Times New Roman"/>
          <w:b/>
          <w:i/>
          <w:sz w:val="20"/>
          <w:szCs w:val="20"/>
        </w:rPr>
      </w:pPr>
    </w:p>
    <w:p w14:paraId="094BFD6C" w14:textId="77777777" w:rsidR="0068736F" w:rsidRDefault="0068736F" w:rsidP="00F862CF">
      <w:pPr>
        <w:spacing w:after="0" w:line="240" w:lineRule="auto"/>
        <w:ind w:left="-567" w:right="-284"/>
        <w:jc w:val="both"/>
        <w:rPr>
          <w:rFonts w:ascii="Times New Roman" w:hAnsi="Times New Roman"/>
          <w:b/>
          <w:i/>
          <w:sz w:val="20"/>
          <w:szCs w:val="20"/>
        </w:rPr>
      </w:pPr>
    </w:p>
    <w:p w14:paraId="75750CBD" w14:textId="703162CC" w:rsidR="00B33343" w:rsidRPr="0068736F" w:rsidRDefault="00B33343" w:rsidP="00F862C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F862CF" w:rsidRPr="00F862CF">
        <w:rPr>
          <w:rFonts w:ascii="Times New Roman" w:hAnsi="Times New Roman" w:cs="Times New Roman"/>
          <w:b/>
          <w:sz w:val="20"/>
          <w:szCs w:val="20"/>
        </w:rPr>
        <w:t>ДК 021:2015: (CPV) Вершкове масло (15530000-2) (Масло вершкове жирністю не менше 72,5%)</w:t>
      </w:r>
      <w:r w:rsidR="00E24CBD"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F862C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F862CF">
      <w:pPr>
        <w:widowControl w:val="0"/>
        <w:shd w:val="clear" w:color="auto" w:fill="FFFFFF"/>
        <w:tabs>
          <w:tab w:val="left" w:pos="226"/>
          <w:tab w:val="left" w:pos="567"/>
        </w:tabs>
        <w:autoSpaceDE w:val="0"/>
        <w:autoSpaceDN w:val="0"/>
        <w:adjustRightInd w:val="0"/>
        <w:spacing w:after="0" w:line="240" w:lineRule="auto"/>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F862CF">
      <w:pPr>
        <w:widowControl w:val="0"/>
        <w:shd w:val="clear" w:color="auto" w:fill="FFFFFF"/>
        <w:tabs>
          <w:tab w:val="left" w:pos="226"/>
          <w:tab w:val="left" w:pos="567"/>
        </w:tabs>
        <w:autoSpaceDE w:val="0"/>
        <w:autoSpaceDN w:val="0"/>
        <w:adjustRightInd w:val="0"/>
        <w:spacing w:after="0" w:line="240" w:lineRule="auto"/>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F862C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F862C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F862C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F862C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9EDE214" w:rsidR="00CA42A4" w:rsidRPr="0068736F" w:rsidRDefault="00CA42A4" w:rsidP="00F862C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F862CF" w:rsidRPr="00F862CF">
        <w:rPr>
          <w:rFonts w:ascii="Times New Roman" w:hAnsi="Times New Roman" w:cs="Times New Roman"/>
          <w:sz w:val="20"/>
          <w:szCs w:val="20"/>
        </w:rPr>
        <w:t>38 700,00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F862C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089CCFD" w:rsidR="004E489E" w:rsidRPr="0068736F" w:rsidRDefault="00C71BE4" w:rsidP="00F862C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68736F" w:rsidRPr="0068736F">
        <w:rPr>
          <w:rFonts w:ascii="Times New Roman" w:hAnsi="Times New Roman" w:cs="Times New Roman"/>
          <w:sz w:val="20"/>
          <w:szCs w:val="20"/>
        </w:rPr>
        <w:t>№4-2301-54818 від 01.10.2025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4788"/>
    <w:rsid w:val="001D7F49"/>
    <w:rsid w:val="0026611A"/>
    <w:rsid w:val="00301BC7"/>
    <w:rsid w:val="00305EE4"/>
    <w:rsid w:val="00377E08"/>
    <w:rsid w:val="003A5FEF"/>
    <w:rsid w:val="003D3B1D"/>
    <w:rsid w:val="00424241"/>
    <w:rsid w:val="004B3B8A"/>
    <w:rsid w:val="004E489E"/>
    <w:rsid w:val="00556ABA"/>
    <w:rsid w:val="00586941"/>
    <w:rsid w:val="00590E66"/>
    <w:rsid w:val="00593474"/>
    <w:rsid w:val="005E523E"/>
    <w:rsid w:val="005F0304"/>
    <w:rsid w:val="00640A01"/>
    <w:rsid w:val="00683DDC"/>
    <w:rsid w:val="0068736F"/>
    <w:rsid w:val="006A2D19"/>
    <w:rsid w:val="006B1DA6"/>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6C66"/>
    <w:rsid w:val="00B33343"/>
    <w:rsid w:val="00B6216D"/>
    <w:rsid w:val="00B82126"/>
    <w:rsid w:val="00B8595A"/>
    <w:rsid w:val="00BF6BFF"/>
    <w:rsid w:val="00C07553"/>
    <w:rsid w:val="00C71BE4"/>
    <w:rsid w:val="00C863AE"/>
    <w:rsid w:val="00CA42A4"/>
    <w:rsid w:val="00CB29B7"/>
    <w:rsid w:val="00D15CC3"/>
    <w:rsid w:val="00D84356"/>
    <w:rsid w:val="00E24CBD"/>
    <w:rsid w:val="00E72ECD"/>
    <w:rsid w:val="00EE1700"/>
    <w:rsid w:val="00F074E8"/>
    <w:rsid w:val="00F5513C"/>
    <w:rsid w:val="00F625E5"/>
    <w:rsid w:val="00F862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http://purl.org/dc/dcmitype/"/>
    <ds:schemaRef ds:uri="http://schemas.openxmlformats.org/package/2006/metadata/core-properties"/>
    <ds:schemaRef ds:uri="21a3cdd7-b7f5-4e00-b9e7-681cfd136eac"/>
    <ds:schemaRef ds:uri="c8c76e99-bfbc-4ac6-b8a2-12a48c184727"/>
    <ds:schemaRef ds:uri="http://www.w3.org/XML/1998/namespace"/>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31689-41DC-4A89-BE2F-EB8AC39C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4063</Words>
  <Characters>2316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2025-10-02T20:39:00Z</dcterms:created>
  <dcterms:modified xsi:type="dcterms:W3CDTF">2025-10-02T20:39:00Z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