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B7B66" w:rsidRPr="00CB7B66">
        <w:rPr>
          <w:rFonts w:ascii="Arial" w:hAnsi="Arial" w:cs="Arial"/>
          <w:b/>
          <w:sz w:val="24"/>
          <w:szCs w:val="24"/>
        </w:rPr>
        <w:t>ДК 021:2015 – 03450000-9 – Розсадницька продукція - Багаторічні саджанці дерев та кущів (вік більше одного року)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CB7B66" w:rsidRPr="00CB7B66">
        <w:rPr>
          <w:rFonts w:ascii="Arial" w:hAnsi="Arial" w:cs="Arial"/>
          <w:b/>
          <w:sz w:val="24"/>
          <w:szCs w:val="24"/>
        </w:rPr>
        <w:t>UA-2025-10-13-015190-a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B7B66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наявної потреби закупівлі </w:t>
      </w:r>
      <w:r>
        <w:rPr>
          <w:rFonts w:ascii="Arial" w:hAnsi="Arial" w:cs="Arial"/>
          <w:sz w:val="24"/>
          <w:szCs w:val="24"/>
        </w:rPr>
        <w:t>багаторічних саджанців дерев та кущів</w:t>
      </w:r>
      <w:r w:rsidRPr="00356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ціна, яка формується за рахунок коштів бюджетних асигнувань.</w:t>
      </w:r>
    </w:p>
    <w:p w:rsidR="00CB7B66" w:rsidRDefault="00CB7B66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 здійснюється відповідно до комплексної екологічної програми на 2024-2028 роки для Львівської територіальної громади затвердженої ухвалою Львівської міської ради від 28.03.2024 року №4526.</w:t>
      </w:r>
      <w:bookmarkStart w:id="0" w:name="_GoBack"/>
      <w:bookmarkEnd w:id="0"/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8533F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B7B66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A554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1349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65</cp:revision>
  <cp:lastPrinted>2025-10-14T08:26:00Z</cp:lastPrinted>
  <dcterms:created xsi:type="dcterms:W3CDTF">2022-01-11T18:33:00Z</dcterms:created>
  <dcterms:modified xsi:type="dcterms:W3CDTF">2025-10-14T08:26:00Z</dcterms:modified>
  <dc:language>uk-UA</dc:language>
</cp:coreProperties>
</file>