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88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959"/>
        <w:gridCol w:w="4100"/>
        <w:gridCol w:w="2448"/>
        <w:gridCol w:w="2126"/>
        <w:gridCol w:w="4254"/>
      </w:tblGrid>
      <w:tr>
        <w:trPr>
          <w:trHeight w:val="120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 xml:space="preserve">№ </w:t>
            </w: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з/п</w:t>
            </w: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Назва регуляторного акта</w:t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Термін прийняття регуляторного акта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Вид відстеження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Відповідальний за прийняття регуляторного акта</w:t>
            </w:r>
          </w:p>
        </w:tc>
      </w:tr>
      <w:tr>
        <w:trPr>
          <w:trHeight w:val="360" w:hRule="atLeast"/>
        </w:trPr>
        <w:tc>
          <w:tcPr>
            <w:tcW w:w="1388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Ухвали міської ради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r>
          </w:p>
        </w:tc>
      </w:tr>
      <w:tr>
        <w:trPr>
          <w:trHeight w:val="360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1.1</w:t>
            </w:r>
          </w:p>
        </w:tc>
        <w:tc>
          <w:tcPr>
            <w:tcW w:w="4100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затвердження Положення про оформлення права на оренду окремих конструктивних елементів благоустрою для розміщення автоматів для продажу товарів (надання послуг) на території Львівської міської територіальної громади</w:t>
            </w:r>
          </w:p>
        </w:tc>
        <w:tc>
          <w:tcPr>
            <w:tcW w:w="2448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 квартал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економічного розвитку</w:t>
            </w:r>
          </w:p>
        </w:tc>
      </w:tr>
      <w:tr>
        <w:trPr>
          <w:trHeight w:val="120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1.2.</w:t>
            </w:r>
          </w:p>
        </w:tc>
        <w:tc>
          <w:tcPr>
            <w:tcW w:w="4100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окремі питання оренди майна Львівської міської територіальної громади</w:t>
            </w:r>
          </w:p>
        </w:tc>
        <w:tc>
          <w:tcPr>
            <w:tcW w:w="2448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ІІ квартал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Управління комунальної власності департаменту економічного розвитку</w:t>
            </w:r>
          </w:p>
        </w:tc>
      </w:tr>
      <w:tr>
        <w:trPr>
          <w:trHeight w:val="240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1.3.</w:t>
            </w:r>
          </w:p>
        </w:tc>
        <w:tc>
          <w:tcPr>
            <w:tcW w:w="4100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затвердження Порядку подання та розгляду заяв про включення об’єктів права комунальної власності до переліку об’єктів малої приватизації, що підлягають приватизації</w:t>
            </w:r>
          </w:p>
        </w:tc>
        <w:tc>
          <w:tcPr>
            <w:tcW w:w="2448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ІІІ квартал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Управління комунальної власності департаменту економічного розвитку</w:t>
            </w:r>
          </w:p>
        </w:tc>
      </w:tr>
      <w:tr>
        <w:trPr>
          <w:trHeight w:val="240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1.4.</w:t>
            </w:r>
          </w:p>
        </w:tc>
        <w:tc>
          <w:tcPr>
            <w:tcW w:w="4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регулювання використання елементів благоустрою для здійснення підприємницької діяльності на території Львівської міської територіальної громади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 квартал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Управління комунальної власності департаменту економічного розвитку</w:t>
            </w:r>
          </w:p>
        </w:tc>
      </w:tr>
      <w:tr>
        <w:trPr>
          <w:trHeight w:val="270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1.5.</w:t>
            </w: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затвердження Порядку розміщення відкритих літніх майданчиків біля об’єктів ресторанного господарства на території Львівської міської територіальної громади</w:t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ІI квартал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архітектури та просторового розвитку</w:t>
            </w:r>
          </w:p>
        </w:tc>
      </w:tr>
      <w:tr>
        <w:trPr>
          <w:trHeight w:val="2055" w:hRule="atLeast"/>
        </w:trPr>
        <w:tc>
          <w:tcPr>
            <w:tcW w:w="959" w:type="dxa"/>
            <w:tcBorders>
              <w:start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1.6 </w:t>
            </w:r>
          </w:p>
        </w:tc>
        <w:tc>
          <w:tcPr>
            <w:tcW w:w="4100" w:type="dxa"/>
            <w:tcBorders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затвердження Порядку розміщення відкритих майданчиків біля об’єктів ресторанного господарства у зимовий період на території Львівської міської територіальної громади</w:t>
            </w:r>
          </w:p>
        </w:tc>
        <w:tc>
          <w:tcPr>
            <w:tcW w:w="2448" w:type="dxa"/>
            <w:tcBorders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ІІІ квартал</w:t>
            </w:r>
          </w:p>
        </w:tc>
        <w:tc>
          <w:tcPr>
            <w:tcW w:w="2126" w:type="dxa"/>
            <w:tcBorders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архітектури та просторового розвитку</w:t>
            </w:r>
          </w:p>
        </w:tc>
      </w:tr>
      <w:tr>
        <w:trPr>
          <w:trHeight w:val="237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1.7</w:t>
            </w: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Ухвала міської ради від 25.05.2017 № 1995 «Про затвердження Порядку продажу земельних ділянок комунальної власності та нарахування орендної плати за землю у м. Львові»</w:t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ІІІ квартал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Періодичне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природних ресурсів та будівництва</w:t>
            </w:r>
          </w:p>
        </w:tc>
      </w:tr>
      <w:tr>
        <w:trPr>
          <w:trHeight w:val="297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1.8 </w:t>
            </w:r>
          </w:p>
        </w:tc>
        <w:tc>
          <w:tcPr>
            <w:tcW w:w="4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Ухвала міської ради від 26.07.2012 № 1676 "Про затвердження Положення про земельний сервітут та порядок визначення плати за землю при встановленні земельного сервітуту, а також Типових договорів про встановлення земельного сервітуту»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ІІІ квартал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Періодичне</w:t>
            </w:r>
          </w:p>
        </w:tc>
        <w:tc>
          <w:tcPr>
            <w:tcW w:w="4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природних ресурсів та будівництва</w:t>
            </w:r>
          </w:p>
        </w:tc>
      </w:tr>
      <w:tr>
        <w:trPr>
          <w:trHeight w:val="297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1.9</w:t>
            </w: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hyperlink r:id="rId2">
              <w:r>
                <w:rPr>
                  <w:rStyle w:val="Style"/>
                  <w:rFonts w:eastAsia="Times New Roman" w:cs="Arial" w:ascii="Arial" w:hAnsi="Arial"/>
                  <w:kern w:val="0"/>
                  <w:sz w:val="24"/>
                  <w:szCs w:val="24"/>
                  <w:lang w:eastAsia="uk-UA"/>
                  <w14:ligatures w14:val="none"/>
                </w:rPr>
                <w:t>Ухвала міської ради від 11.03.2019 № 4709 «Про встановлення ставок туристичного збору»</w:t>
              </w:r>
            </w:hyperlink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ІІ квартал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Періодичне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економічного розвитку</w:t>
            </w:r>
          </w:p>
        </w:tc>
      </w:tr>
      <w:tr>
        <w:trPr>
          <w:trHeight w:val="4125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1.10</w:t>
            </w:r>
          </w:p>
        </w:tc>
        <w:tc>
          <w:tcPr>
            <w:tcW w:w="4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Ухвала від ухвали міської ради від 23.04.2015 № 4526 «Про затвердження Положення про порядок розміщення тимчасових споруд для здійснення підприємницької діяльності у м. Львові та Комплексної схеми розміщення тимчасових споруд для здійснення підприємницької діяльності у м. Львові»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ІІ квартал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Періодичне</w:t>
            </w:r>
          </w:p>
        </w:tc>
        <w:tc>
          <w:tcPr>
            <w:tcW w:w="4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архітектури та просторового розвитку</w:t>
            </w:r>
          </w:p>
        </w:tc>
      </w:tr>
      <w:tr>
        <w:trPr>
          <w:trHeight w:val="2234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1.11</w:t>
            </w: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Ухвала міської ради від 19.12.2024 № 5766 «Про затвердження Правил благоустрою Львівської міської територіальної громади»</w:t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ІV квартал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Повторне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Управління екології та природних ресурсів департаменту природних ресурсів та будівництва</w:t>
            </w:r>
          </w:p>
        </w:tc>
      </w:tr>
      <w:tr>
        <w:trPr>
          <w:trHeight w:val="2961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1.12</w:t>
            </w: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Ухвала міської ради від 12.09.2024 № 5250 «Про затвердження Положення про паркування транспортних засобів на території Львівської міської територіальної громади»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ІV квартал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Повторне</w:t>
            </w:r>
          </w:p>
        </w:tc>
        <w:tc>
          <w:tcPr>
            <w:tcW w:w="4254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міської мобільності та вуличної інфраструктури</w:t>
            </w:r>
          </w:p>
        </w:tc>
      </w:tr>
      <w:tr>
        <w:trPr>
          <w:trHeight w:val="3015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1.13 </w:t>
            </w:r>
          </w:p>
        </w:tc>
        <w:tc>
          <w:tcPr>
            <w:tcW w:w="4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24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Ухвала міської ради від 27.01.2011 № 120 «Про затвердження збору за місця для паркування транспортних засобів та плати за паркування транспортних засобів на території м. Львова»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ІІ квартал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Періодичне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міської мобільності та вуличної інфраструктури</w:t>
            </w:r>
          </w:p>
        </w:tc>
      </w:tr>
      <w:tr>
        <w:trPr>
          <w:trHeight w:val="315" w:hRule="atLeast"/>
        </w:trPr>
        <w:tc>
          <w:tcPr>
            <w:tcW w:w="1388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  <w:t>Рішення виконавчого комітету</w:t>
            </w:r>
          </w:p>
          <w:p>
            <w:pPr>
              <w:pStyle w:val="ListParagraph"/>
              <w:spacing w:lineRule="auto" w:line="240" w:before="0" w:after="0"/>
              <w:contextualSpacing/>
              <w:rPr>
                <w:rFonts w:ascii="Arial" w:hAnsi="Arial" w:eastAsia="Times New Roman" w:cs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4"/>
                <w:szCs w:val="24"/>
                <w:lang w:eastAsia="uk-UA"/>
                <w14:ligatures w14:val="none"/>
              </w:rPr>
            </w:r>
          </w:p>
        </w:tc>
      </w:tr>
      <w:tr>
        <w:trPr>
          <w:trHeight w:val="300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2.1.</w:t>
            </w:r>
          </w:p>
        </w:tc>
        <w:tc>
          <w:tcPr>
            <w:tcW w:w="4100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здійснення нагляду за відновленням об’єктів благоустрою та усуненням пошкоджень цих об’єктів внаслідок виконання земляних та ремонтних робіт на території Львівської міської територіальної громади</w:t>
            </w:r>
          </w:p>
        </w:tc>
        <w:tc>
          <w:tcPr>
            <w:tcW w:w="2448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 квартал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Управління інженерного господарства департаменту житлового господарства та інфраструктури</w:t>
            </w:r>
          </w:p>
        </w:tc>
      </w:tr>
      <w:tr>
        <w:trPr>
          <w:trHeight w:val="210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2.2.</w:t>
            </w:r>
          </w:p>
        </w:tc>
        <w:tc>
          <w:tcPr>
            <w:tcW w:w="4100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встановлення Львівському комунальному підприємству “Муніципальна обрядова служба“ тарифів на ритуальні послуги</w:t>
            </w:r>
          </w:p>
        </w:tc>
        <w:tc>
          <w:tcPr>
            <w:tcW w:w="2448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 квартал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житлового господарства та інфраструктури</w:t>
            </w:r>
          </w:p>
        </w:tc>
      </w:tr>
      <w:tr>
        <w:trPr>
          <w:trHeight w:val="240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2.3.</w:t>
            </w:r>
          </w:p>
        </w:tc>
        <w:tc>
          <w:tcPr>
            <w:tcW w:w="4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затвердження норм надання послуги з управління побутовими відходами в населених пунктах Львівської міської територіальної громади на 2025-2029 роки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 квартал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житлового господарства та інфраструктури</w:t>
            </w:r>
          </w:p>
        </w:tc>
      </w:tr>
      <w:tr>
        <w:trPr>
          <w:trHeight w:val="450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2.4.</w:t>
            </w: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затвердження Тимчасового положення про оренду окремих конструктивних елементів благоустрою для розміщення об’єктів соціально-культурного, торговельного та іншого призначення на території парків, лісопарків та парків-пам’яток садово-паркового мистецтва на території Львівської міської територіальної громади на 2025 рік</w:t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 квартал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природних ресурсів та будівництва</w:t>
            </w:r>
          </w:p>
        </w:tc>
      </w:tr>
      <w:tr>
        <w:trPr>
          <w:trHeight w:val="210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2.5.</w:t>
            </w:r>
          </w:p>
        </w:tc>
        <w:tc>
          <w:tcPr>
            <w:tcW w:w="4100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затвердження Положення про комісію забезпечення доступності об’єктів фізичного оточення у Львівській міській територіальній громаді</w:t>
            </w:r>
          </w:p>
        </w:tc>
        <w:tc>
          <w:tcPr>
            <w:tcW w:w="2448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 квартал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природних ресурсів, будівництва та розвитку громад</w:t>
            </w:r>
          </w:p>
        </w:tc>
      </w:tr>
      <w:tr>
        <w:trPr>
          <w:trHeight w:val="180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2.6.</w:t>
            </w:r>
          </w:p>
        </w:tc>
        <w:tc>
          <w:tcPr>
            <w:tcW w:w="4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встановлення тарифу на надання послуг з перероблення роздільно зібраних харчових та садових відходів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 квартал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економічного розвитку</w:t>
            </w:r>
          </w:p>
        </w:tc>
      </w:tr>
      <w:tr>
        <w:trPr>
          <w:trHeight w:val="240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2.7.</w:t>
            </w: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затвердження Правил приймання стічних вод споживачів до системи централізованого водовідведення Львівської міської територіальної громади</w:t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ІV квартал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Управління інженерного господарства департаменту житлового господарства та інфраструктури</w:t>
            </w:r>
          </w:p>
        </w:tc>
      </w:tr>
      <w:tr>
        <w:trPr>
          <w:trHeight w:val="150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2.8.</w:t>
            </w:r>
          </w:p>
        </w:tc>
        <w:tc>
          <w:tcPr>
            <w:tcW w:w="4100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погодження вартості збору і переробки відпрацьованих ртутьвмісних відходів та батарейок</w:t>
            </w:r>
          </w:p>
        </w:tc>
        <w:tc>
          <w:tcPr>
            <w:tcW w:w="2448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 квартал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Управління екології та природних ресурсів департаменту природних ресурсів та будівництва</w:t>
            </w:r>
          </w:p>
        </w:tc>
      </w:tr>
      <w:tr>
        <w:trPr>
          <w:trHeight w:val="2100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2.9.</w:t>
            </w:r>
          </w:p>
        </w:tc>
        <w:tc>
          <w:tcPr>
            <w:tcW w:w="4100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затвердження Порядку розміщення малих архітектурних форм (вивісок) на території Львівської міської територіальної громади</w:t>
            </w:r>
          </w:p>
        </w:tc>
        <w:tc>
          <w:tcPr>
            <w:tcW w:w="2448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 квартал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архітектури та просторового розвитку</w:t>
            </w:r>
          </w:p>
        </w:tc>
      </w:tr>
      <w:tr>
        <w:trPr>
          <w:trHeight w:val="180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2.10.</w:t>
            </w:r>
          </w:p>
        </w:tc>
        <w:tc>
          <w:tcPr>
            <w:tcW w:w="4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затвердження Порядку розміщення афішних конструкцій на території Львівської міської територіальної громади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ІІ квартал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архітектури та просторового розвитку</w:t>
            </w:r>
          </w:p>
        </w:tc>
      </w:tr>
      <w:tr>
        <w:trPr>
          <w:trHeight w:val="2400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2.11.</w:t>
            </w:r>
          </w:p>
        </w:tc>
        <w:tc>
          <w:tcPr>
            <w:tcW w:w="4100" w:type="dxa"/>
            <w:tcBorders>
              <w:top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затвердження Порядку встановлення, утримання та демонтажу інформаційних і меморіальних таблиць на території Львівської міської територіальної громади</w:t>
            </w:r>
          </w:p>
        </w:tc>
        <w:tc>
          <w:tcPr>
            <w:tcW w:w="2448" w:type="dxa"/>
            <w:tcBorders>
              <w:top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ІІ квартал</w:t>
            </w:r>
          </w:p>
        </w:tc>
        <w:tc>
          <w:tcPr>
            <w:tcW w:w="2126" w:type="dxa"/>
            <w:tcBorders>
              <w:top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Базове</w:t>
            </w:r>
          </w:p>
        </w:tc>
        <w:tc>
          <w:tcPr>
            <w:tcW w:w="4254" w:type="dxa"/>
            <w:tcBorders>
              <w:top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архітектури та просторового розвитку</w:t>
            </w:r>
          </w:p>
        </w:tc>
      </w:tr>
      <w:tr>
        <w:trPr>
          <w:trHeight w:val="1815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2.12</w:t>
            </w: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затвердження схеми впорядкування земель транспорту у межах м. Львова рекламними конструкціями рішення від 25.05.2018 № 535</w:t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ІІІ квартал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Періодичне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Управління економіки департаменту економічного розвитку</w:t>
            </w:r>
          </w:p>
        </w:tc>
      </w:tr>
      <w:tr>
        <w:trPr>
          <w:trHeight w:val="2415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2.13</w:t>
            </w:r>
          </w:p>
        </w:tc>
        <w:tc>
          <w:tcPr>
            <w:tcW w:w="410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Про затвердження порядку надання вимог до архітектурно-планувальної частини проекту на влаштування проїзду (заїзду) до об'єкта містобудування рішення від 30.03.2018 № 349</w:t>
            </w:r>
          </w:p>
        </w:tc>
        <w:tc>
          <w:tcPr>
            <w:tcW w:w="2448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ІІ квартал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Періодичне</w:t>
            </w:r>
          </w:p>
        </w:tc>
        <w:tc>
          <w:tcPr>
            <w:tcW w:w="4254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архітектури та просторового розвитку</w:t>
            </w:r>
          </w:p>
        </w:tc>
      </w:tr>
      <w:tr>
        <w:trPr>
          <w:trHeight w:val="2415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2.14</w:t>
            </w:r>
          </w:p>
        </w:tc>
        <w:tc>
          <w:tcPr>
            <w:tcW w:w="41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Рішення виконавчого комітету від 19.01.2018 № 51 «Про затвердження схеми впорядкування розміщення зовнішньої реклами на перехрестях м. Львова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 квартал</w:t>
            </w:r>
          </w:p>
        </w:tc>
        <w:tc>
          <w:tcPr>
            <w:tcW w:w="21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Періодичне</w:t>
            </w:r>
          </w:p>
        </w:tc>
        <w:tc>
          <w:tcPr>
            <w:tcW w:w="4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Управління економіки департаменту економічного розвитку</w:t>
            </w:r>
          </w:p>
        </w:tc>
      </w:tr>
      <w:tr>
        <w:trPr>
          <w:trHeight w:val="2715" w:hRule="atLeast"/>
        </w:trPr>
        <w:tc>
          <w:tcPr>
            <w:tcW w:w="9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2.15</w:t>
            </w:r>
          </w:p>
        </w:tc>
        <w:tc>
          <w:tcPr>
            <w:tcW w:w="41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Рішення виконавчого комітету від 13.02.2015 № 36 «Про здійснення нагляду за відновленням об*єктів благоустрою внаслідок виконання ремонтних робіт на території м. Львова»</w:t>
            </w:r>
          </w:p>
        </w:tc>
        <w:tc>
          <w:tcPr>
            <w:tcW w:w="244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ІІ квартал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Періодичне</w:t>
            </w:r>
          </w:p>
        </w:tc>
        <w:tc>
          <w:tcPr>
            <w:tcW w:w="425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житлового господарства та інфраструктури</w:t>
            </w:r>
          </w:p>
        </w:tc>
      </w:tr>
      <w:tr>
        <w:trPr>
          <w:trHeight w:val="3615" w:hRule="atLeast"/>
        </w:trPr>
        <w:tc>
          <w:tcPr>
            <w:tcW w:w="95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 </w:t>
            </w: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2.16</w:t>
            </w:r>
          </w:p>
        </w:tc>
        <w:tc>
          <w:tcPr>
            <w:tcW w:w="4100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Рішення виконавчого комітету від 13.08.2021 № 690 «Про впровадження та функціонування автоматизованої системи оплати проїзду у пасажирському транспорті загального користування у Львівській міській територіальній громаді»</w:t>
            </w:r>
          </w:p>
        </w:tc>
        <w:tc>
          <w:tcPr>
            <w:tcW w:w="2448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ІІІ квартал</w:t>
            </w:r>
          </w:p>
        </w:tc>
        <w:tc>
          <w:tcPr>
            <w:tcW w:w="2126" w:type="dxa"/>
            <w:tcBorders>
              <w:bottom w:val="single" w:sz="4" w:space="0" w:color="000000"/>
              <w:end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Повторне</w:t>
            </w:r>
          </w:p>
        </w:tc>
        <w:tc>
          <w:tcPr>
            <w:tcW w:w="4254" w:type="dxa"/>
            <w:tcBorders>
              <w:bottom w:val="single" w:sz="4" w:space="0" w:color="000000"/>
              <w:end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eastAsia="Times New Roman" w:cs="Arial" w:ascii="Arial" w:hAnsi="Arial"/>
                <w:kern w:val="0"/>
                <w:sz w:val="24"/>
                <w:szCs w:val="24"/>
                <w:lang w:eastAsia="uk-UA"/>
                <w14:ligatures w14:val="none"/>
              </w:rPr>
              <w:t>Департамент міської мобільності та вуличної інфраструктури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orient="landscape" w:w="16838" w:h="11906"/>
      <w:pgMar w:left="850" w:right="850" w:gutter="0" w:header="0" w:top="141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uk-UA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e6245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6245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6245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E74B5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6245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E74B5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6245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E74B5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6245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6245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6245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6245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6245e"/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6245e"/>
    <w:rPr>
      <w:rFonts w:ascii="Aptos Display" w:hAnsi="Aptos Display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6245e"/>
    <w:rPr>
      <w:rFonts w:eastAsia="" w:cs="" w:cstheme="majorBidi" w:eastAsiaTheme="majorEastAsia"/>
      <w:color w:themeColor="accent1" w:themeShade="bf" w:val="2E74B5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e6245e"/>
    <w:rPr>
      <w:rFonts w:eastAsia="" w:cs="" w:cstheme="majorBidi" w:eastAsiaTheme="majorEastAsia"/>
      <w:i/>
      <w:iCs/>
      <w:color w:themeColor="accent1" w:themeShade="bf" w:val="2E74B5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6245e"/>
    <w:rPr>
      <w:rFonts w:eastAsia="" w:cs="" w:cstheme="majorBidi" w:eastAsiaTheme="majorEastAsia"/>
      <w:color w:themeColor="accent1" w:themeShade="bf" w:val="2E74B5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6245e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6245e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6245e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6245e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e6245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e6245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e6245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6245e"/>
    <w:rPr>
      <w:i/>
      <w:iCs/>
      <w:color w:themeColor="accent1" w:themeShade="bf" w:val="2E74B5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e6245e"/>
    <w:rPr>
      <w:i/>
      <w:iCs/>
      <w:color w:themeColor="accent1" w:themeShade="bf" w:val="2E74B5"/>
    </w:rPr>
  </w:style>
  <w:style w:type="character" w:styleId="IntenseReference">
    <w:name w:val="Intense Reference"/>
    <w:basedOn w:val="DefaultParagraphFont"/>
    <w:uiPriority w:val="32"/>
    <w:qFormat/>
    <w:rsid w:val="00e6245e"/>
    <w:rPr>
      <w:b/>
      <w:bCs/>
      <w:smallCaps/>
      <w:color w:themeColor="accent1" w:themeShade="bf" w:val="2E74B5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742bb"/>
    <w:rPr>
      <w:color w:val="0563C1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e6245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e6245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Style7"/>
    <w:uiPriority w:val="29"/>
    <w:qFormat/>
    <w:rsid w:val="00e6245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6245e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Style8"/>
    <w:uiPriority w:val="30"/>
    <w:qFormat/>
    <w:rsid w:val="00e6245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E74B5"/>
    </w:rPr>
  </w:style>
  <w:style w:type="numbering" w:styleId="Style11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ity-adm.lviv.ua/lmr/lmrdownloads/4709.pdf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LibreOffice/25.2.1.2$Linux_X86_64 LibreOffice_project/520$Build-2</Application>
  <AppVersion>15.0000</AppVersion>
  <Pages>9</Pages>
  <Words>866</Words>
  <Characters>6336</Characters>
  <CharactersWithSpaces>7061</CharactersWithSpaces>
  <Paragraphs>152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2025-02-24T08:41:00Z</dcterms:created>
  <dc:creator>Куденчук Оксана</dc:creator>
  <dc:description/>
  <dc:language>uk-UA</dc:language>
  <cp:lastModifiedBy>Куденчук Оксана</cp:lastModifiedBy>
  <dcterms:modified xsi:type="dcterms:W3CDTF">2025-02-26T05:56:00Z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