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3A38DF1D" w:rsidR="00D16202" w:rsidRDefault="00D16202"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D16202">
        <w:rPr>
          <w:rFonts w:ascii="Times New Roman" w:eastAsia="Times New Roman" w:hAnsi="Times New Roman"/>
          <w:b/>
          <w:iCs/>
          <w:color w:val="000000"/>
          <w:sz w:val="24"/>
          <w:szCs w:val="24"/>
        </w:rPr>
        <w:t>«Рідкі засоби для миття підлоги», код за ДК 021:2015 - 39830000-9: Продукція для чищення</w:t>
      </w:r>
      <w:r>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F2A7CD0"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B97937" w:rsidRPr="00B97937">
        <w:rPr>
          <w:rFonts w:ascii="Times New Roman" w:eastAsia="Times New Roman" w:hAnsi="Times New Roman"/>
          <w:b/>
          <w:bCs/>
          <w:sz w:val="24"/>
          <w:szCs w:val="24"/>
          <w:lang w:val="en-US"/>
        </w:rPr>
        <w:t>UA-2025-11-07-009647-a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F8429A6"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33 750,00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2630AB1E"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D16202" w:rsidRPr="00D16202">
        <w:rPr>
          <w:rFonts w:ascii="Times New Roman" w:eastAsia="Times New Roman" w:hAnsi="Times New Roman"/>
          <w:b/>
          <w:color w:val="FF0000"/>
          <w:sz w:val="24"/>
          <w:szCs w:val="24"/>
        </w:rPr>
        <w:t>33 750,00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95973"/>
    <w:rsid w:val="00206516"/>
    <w:rsid w:val="00230E52"/>
    <w:rsid w:val="002C2421"/>
    <w:rsid w:val="00394139"/>
    <w:rsid w:val="00404B1D"/>
    <w:rsid w:val="004202F3"/>
    <w:rsid w:val="004C0A9C"/>
    <w:rsid w:val="00531E81"/>
    <w:rsid w:val="005E7151"/>
    <w:rsid w:val="00665873"/>
    <w:rsid w:val="006E586E"/>
    <w:rsid w:val="0070006D"/>
    <w:rsid w:val="00742462"/>
    <w:rsid w:val="0075758B"/>
    <w:rsid w:val="00775B9B"/>
    <w:rsid w:val="008F5D70"/>
    <w:rsid w:val="0098067D"/>
    <w:rsid w:val="009D4E55"/>
    <w:rsid w:val="00A27C78"/>
    <w:rsid w:val="00A5239D"/>
    <w:rsid w:val="00A8357C"/>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2274</Words>
  <Characters>1297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2025-11-07T12:08:00Z</dcterms:created>
  <dcterms:modified xsi:type="dcterms:W3CDTF">2025-11-07T12:16:00Z</dcterms:modified>
</cp:coreProperties>
</file>