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75758B" w:rsidRDefault="008F5D70" w:rsidP="00D0421B">
            <w:pPr>
              <w:tabs>
                <w:tab w:val="left" w:pos="981"/>
                <w:tab w:val="left" w:pos="1027"/>
              </w:tabs>
              <w:ind w:left="-107" w:right="-8190"/>
              <w:contextualSpacing/>
              <w:rPr>
                <w:rFonts w:ascii="municipal_lviv_108" w:hAnsi="municipal_lviv_108"/>
                <w:lang w:val="en-US"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321E883E" w:rsidR="008F5D70" w:rsidRDefault="00B72BF9" w:rsidP="009D4E55">
      <w:pPr>
        <w:shd w:val="clear" w:color="auto" w:fill="FFFFFF" w:themeFill="background1"/>
        <w:spacing w:after="0" w:line="240" w:lineRule="auto"/>
        <w:ind w:firstLine="567"/>
        <w:jc w:val="both"/>
        <w:rPr>
          <w:rFonts w:ascii="Times New Roman" w:hAnsi="Times New Roman"/>
          <w:b/>
          <w:bCs/>
          <w:sz w:val="24"/>
          <w:szCs w:val="24"/>
        </w:rPr>
      </w:pPr>
      <w:bookmarkStart w:id="2" w:name="_Hlk198029843"/>
      <w:bookmarkStart w:id="3" w:name="_Hlk505604349"/>
      <w:r w:rsidRPr="000E11F2">
        <w:rPr>
          <w:rFonts w:ascii="Times New Roman" w:eastAsia="Times New Roman" w:hAnsi="Times New Roman"/>
          <w:b/>
          <w:iCs/>
          <w:color w:val="000000"/>
          <w:sz w:val="24"/>
          <w:szCs w:val="24"/>
          <w:highlight w:val="white"/>
        </w:rPr>
        <w:t>«</w:t>
      </w:r>
      <w:r w:rsidR="00A5239D" w:rsidRPr="00A5239D">
        <w:rPr>
          <w:rFonts w:ascii="Times New Roman" w:eastAsia="Times New Roman" w:hAnsi="Times New Roman"/>
          <w:b/>
          <w:iCs/>
          <w:color w:val="000000"/>
          <w:sz w:val="24"/>
          <w:szCs w:val="24"/>
        </w:rPr>
        <w:t>Окуляри FPV</w:t>
      </w:r>
      <w:r w:rsidRPr="000E11F2">
        <w:rPr>
          <w:rFonts w:ascii="Times New Roman" w:eastAsia="Times New Roman" w:hAnsi="Times New Roman"/>
          <w:b/>
          <w:iCs/>
          <w:color w:val="000000"/>
          <w:sz w:val="24"/>
          <w:szCs w:val="24"/>
        </w:rPr>
        <w:t>»</w:t>
      </w:r>
      <w:r w:rsidRPr="000E11F2">
        <w:rPr>
          <w:rFonts w:ascii="Times New Roman" w:eastAsia="Times New Roman" w:hAnsi="Times New Roman"/>
          <w:b/>
          <w:iCs/>
          <w:color w:val="000000"/>
          <w:sz w:val="24"/>
          <w:szCs w:val="24"/>
          <w:highlight w:val="white"/>
        </w:rPr>
        <w:t xml:space="preserve">, </w:t>
      </w:r>
      <w:r w:rsidRPr="000A2F8E">
        <w:rPr>
          <w:rFonts w:ascii="Times New Roman" w:eastAsia="Times New Roman" w:hAnsi="Times New Roman"/>
          <w:bCs/>
          <w:iCs/>
          <w:color w:val="000000"/>
          <w:sz w:val="24"/>
          <w:szCs w:val="24"/>
          <w:highlight w:val="white"/>
        </w:rPr>
        <w:t>код за</w:t>
      </w:r>
      <w:r w:rsidRPr="000E11F2">
        <w:rPr>
          <w:rFonts w:ascii="Times New Roman" w:eastAsia="Times New Roman" w:hAnsi="Times New Roman"/>
          <w:b/>
          <w:iCs/>
          <w:color w:val="000000"/>
          <w:sz w:val="24"/>
          <w:szCs w:val="24"/>
          <w:highlight w:val="white"/>
        </w:rPr>
        <w:t xml:space="preserve"> </w:t>
      </w:r>
      <w:r w:rsidRPr="000E11F2">
        <w:rPr>
          <w:rFonts w:ascii="Times New Roman" w:eastAsia="Times New Roman" w:hAnsi="Times New Roman"/>
          <w:b/>
          <w:iCs/>
          <w:color w:val="000000"/>
          <w:sz w:val="24"/>
          <w:szCs w:val="24"/>
        </w:rPr>
        <w:t xml:space="preserve">ДК 021:2015 - </w:t>
      </w:r>
      <w:r>
        <w:rPr>
          <w:rFonts w:ascii="Times New Roman" w:eastAsia="Times New Roman" w:hAnsi="Times New Roman"/>
          <w:b/>
          <w:iCs/>
          <w:color w:val="000000"/>
          <w:sz w:val="24"/>
          <w:szCs w:val="24"/>
        </w:rPr>
        <w:t>34740000-6: Обладнання для повітряних і космічних літальних апаратів, тренажери, симулятори та супутні деталі</w:t>
      </w:r>
      <w:r w:rsidR="00394139">
        <w:rPr>
          <w:rFonts w:ascii="Times New Roman" w:hAnsi="Times New Roman"/>
          <w:b/>
          <w:bCs/>
          <w:sz w:val="24"/>
          <w:szCs w:val="24"/>
        </w:rPr>
        <w:t>.</w:t>
      </w:r>
    </w:p>
    <w:p w14:paraId="07364AC6" w14:textId="2AB6FEEA" w:rsidR="006E586E" w:rsidRPr="00665873" w:rsidRDefault="000869A3" w:rsidP="006E586E">
      <w:pPr>
        <w:spacing w:after="0" w:line="240" w:lineRule="auto"/>
        <w:ind w:firstLine="284"/>
        <w:jc w:val="both"/>
        <w:rPr>
          <w:rFonts w:ascii="Times New Roman" w:eastAsia="Times New Roman" w:hAnsi="Times New Roman"/>
          <w:sz w:val="24"/>
          <w:szCs w:val="24"/>
          <w:lang w:eastAsia="ru-RU"/>
        </w:rPr>
      </w:pPr>
      <w:r>
        <w:rPr>
          <w:rFonts w:ascii="Times New Roman" w:hAnsi="Times New Roman"/>
          <w:b/>
          <w:bCs/>
          <w:sz w:val="24"/>
          <w:szCs w:val="24"/>
        </w:rPr>
        <w:t xml:space="preserve">Закупівля здійснюється </w:t>
      </w:r>
      <w:r w:rsidR="006E586E" w:rsidRPr="006E586E">
        <w:rPr>
          <w:rFonts w:ascii="Times New Roman" w:eastAsia="Times New Roman" w:hAnsi="Times New Roman"/>
          <w:sz w:val="24"/>
          <w:szCs w:val="24"/>
          <w:lang w:eastAsia="ru-RU"/>
        </w:rPr>
        <w:t xml:space="preserve">на виконання Рішення виконавчого комітету Львівської міської ради </w:t>
      </w:r>
      <w:r w:rsidR="006E586E" w:rsidRPr="006E586E">
        <w:rPr>
          <w:rFonts w:ascii="Times New Roman" w:eastAsia="Times New Roman" w:hAnsi="Times New Roman"/>
          <w:b/>
          <w:bCs/>
          <w:sz w:val="24"/>
          <w:szCs w:val="24"/>
          <w:lang w:eastAsia="ru-RU"/>
        </w:rPr>
        <w:t>№ 1019 від 10.10.2025</w:t>
      </w:r>
      <w:r w:rsidR="006E586E" w:rsidRPr="006E586E">
        <w:rPr>
          <w:rFonts w:ascii="Times New Roman" w:eastAsia="Times New Roman" w:hAnsi="Times New Roman"/>
          <w:sz w:val="24"/>
          <w:szCs w:val="24"/>
          <w:lang w:eastAsia="ru-RU"/>
        </w:rPr>
        <w:t xml:space="preserve"> «Про закупівлю та передачу матеріально-технічних засобів»,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з подальшою безоплатною передачею матеріально-технічних засобів військовій частині Збройних Сил України</w:t>
      </w:r>
      <w:r w:rsidR="00665873">
        <w:rPr>
          <w:rFonts w:ascii="Times New Roman" w:eastAsia="Times New Roman" w:hAnsi="Times New Roman"/>
          <w:sz w:val="24"/>
          <w:szCs w:val="24"/>
          <w:lang w:eastAsia="ru-RU"/>
        </w:rPr>
        <w:t>.</w:t>
      </w:r>
    </w:p>
    <w:p w14:paraId="4D2AD507" w14:textId="3559216C" w:rsidR="000869A3" w:rsidRPr="00B42141" w:rsidRDefault="000869A3" w:rsidP="009D4E55">
      <w:pPr>
        <w:shd w:val="clear" w:color="auto" w:fill="FFFFFF" w:themeFill="background1"/>
        <w:spacing w:after="0" w:line="240" w:lineRule="auto"/>
        <w:ind w:firstLine="567"/>
        <w:jc w:val="both"/>
        <w:rPr>
          <w:rFonts w:ascii="Times New Roman" w:hAnsi="Times New Roman"/>
          <w:b/>
          <w:sz w:val="24"/>
          <w:szCs w:val="24"/>
        </w:rPr>
      </w:pPr>
    </w:p>
    <w:bookmarkEnd w:id="2"/>
    <w:bookmarkEnd w:id="3"/>
    <w:p w14:paraId="4B4C2864" w14:textId="564BD796"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закупівлі:</w:t>
      </w:r>
    </w:p>
    <w:p w14:paraId="0000000D" w14:textId="0FBD24F0" w:rsidR="00FD008D" w:rsidRPr="00A5239D"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r w:rsidR="00D55340">
        <w:rPr>
          <w:rFonts w:ascii="Times New Roman" w:eastAsia="Times New Roman" w:hAnsi="Times New Roman"/>
          <w:b/>
          <w:bCs/>
          <w:sz w:val="24"/>
          <w:szCs w:val="24"/>
        </w:rPr>
        <w:t xml:space="preserve">індифікатор закупівлі: </w:t>
      </w:r>
      <w:r w:rsidR="00D0421B" w:rsidRPr="00D0421B">
        <w:rPr>
          <w:rFonts w:ascii="Times New Roman" w:eastAsia="Times New Roman" w:hAnsi="Times New Roman"/>
          <w:b/>
          <w:bCs/>
          <w:sz w:val="24"/>
          <w:szCs w:val="24"/>
          <w:lang w:val="en-US"/>
        </w:rPr>
        <w:t>UA-2025-11-11-013105-a</w:t>
      </w:r>
      <w:r w:rsidR="00A5239D">
        <w:rPr>
          <w:rFonts w:ascii="Times New Roman" w:eastAsia="Times New Roman" w:hAnsi="Times New Roman"/>
          <w:b/>
          <w:bCs/>
          <w:sz w:val="24"/>
          <w:szCs w:val="24"/>
        </w:rPr>
        <w:t>.</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2F6DDF15" w:rsidR="00FD008D" w:rsidRDefault="00394139" w:rsidP="00005EB8">
      <w:pPr>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Очікувана вартість закупівлі</w:t>
      </w:r>
      <w:r w:rsidR="00B72BF9">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00D0421B" w:rsidRPr="00D0421B">
        <w:rPr>
          <w:rFonts w:ascii="Times New Roman" w:eastAsia="Times New Roman" w:hAnsi="Times New Roman"/>
          <w:b/>
          <w:bCs/>
          <w:color w:val="FF0000"/>
          <w:sz w:val="24"/>
          <w:szCs w:val="24"/>
        </w:rPr>
        <w:t>26 113,12 грн</w:t>
      </w:r>
      <w:r w:rsidR="00B72BF9" w:rsidRPr="00B72BF9">
        <w:rPr>
          <w:rFonts w:ascii="Times New Roman" w:eastAsia="Times New Roman" w:hAnsi="Times New Roman"/>
          <w:b/>
          <w:bCs/>
          <w:color w:val="FF0000"/>
          <w:sz w:val="24"/>
          <w:szCs w:val="24"/>
        </w:rPr>
        <w:t>.</w:t>
      </w:r>
      <w:r w:rsidR="00FC5B36" w:rsidRPr="00B72BF9">
        <w:rPr>
          <w:rFonts w:ascii="Times New Roman" w:eastAsia="Times New Roman" w:hAnsi="Times New Roman"/>
          <w:b/>
          <w:bCs/>
          <w:color w:val="FF0000"/>
          <w:sz w:val="24"/>
          <w:szCs w:val="24"/>
        </w:rPr>
        <w:t xml:space="preserve"> </w:t>
      </w:r>
      <w:r w:rsidR="0070006D" w:rsidRPr="00B72BF9">
        <w:rPr>
          <w:rFonts w:ascii="Times New Roman" w:eastAsia="Times New Roman" w:hAnsi="Times New Roman"/>
          <w:b/>
          <w:bCs/>
          <w:color w:val="FF0000"/>
          <w:sz w:val="24"/>
          <w:szCs w:val="24"/>
        </w:rPr>
        <w:t>з ПДВ</w:t>
      </w:r>
      <w:r w:rsidR="009D4E55" w:rsidRPr="00B72BF9">
        <w:rPr>
          <w:rFonts w:ascii="Times New Roman" w:eastAsia="Times New Roman" w:hAnsi="Times New Roman"/>
          <w:b/>
          <w:bCs/>
          <w:color w:val="FF0000"/>
          <w:sz w:val="24"/>
          <w:szCs w:val="24"/>
        </w:rPr>
        <w:t>.</w:t>
      </w:r>
    </w:p>
    <w:p w14:paraId="7528925D" w14:textId="4F5F6189" w:rsidR="00B3242D" w:rsidRPr="00742462" w:rsidRDefault="00B3242D" w:rsidP="00742462">
      <w:pPr>
        <w:spacing w:after="0" w:line="240" w:lineRule="auto"/>
        <w:ind w:firstLine="567"/>
        <w:jc w:val="both"/>
        <w:rPr>
          <w:rFonts w:ascii="Times New Roman" w:eastAsia="Times New Roman" w:hAnsi="Times New Roman"/>
          <w:b/>
          <w:bCs/>
          <w:sz w:val="24"/>
          <w:szCs w:val="24"/>
        </w:rPr>
      </w:pPr>
      <w:r w:rsidRPr="00742462">
        <w:rPr>
          <w:rFonts w:ascii="Times New Roman" w:eastAsia="Times New Roman" w:hAnsi="Times New Roman"/>
          <w:bCs/>
          <w:sz w:val="24"/>
          <w:szCs w:val="24"/>
        </w:rPr>
        <w:t>Джерело фінансування закупівлі</w:t>
      </w:r>
      <w:r w:rsidRPr="00742462">
        <w:rPr>
          <w:rFonts w:ascii="Times New Roman" w:eastAsia="Times New Roman" w:hAnsi="Times New Roman"/>
          <w:b/>
          <w:sz w:val="24"/>
          <w:szCs w:val="24"/>
        </w:rPr>
        <w:t>: Інше (Кошти підприємства отримані, як внески до статутного капіталу):</w:t>
      </w:r>
      <w:r w:rsidRPr="00742462">
        <w:rPr>
          <w:rFonts w:ascii="Times New Roman" w:eastAsia="Times New Roman" w:hAnsi="Times New Roman"/>
          <w:bCs/>
          <w:sz w:val="24"/>
          <w:szCs w:val="24"/>
        </w:rPr>
        <w:t xml:space="preserve"> </w:t>
      </w:r>
      <w:r w:rsidR="00D0421B" w:rsidRPr="00D0421B">
        <w:rPr>
          <w:rFonts w:ascii="Times New Roman" w:eastAsia="Times New Roman" w:hAnsi="Times New Roman"/>
          <w:b/>
          <w:color w:val="FF0000"/>
          <w:sz w:val="24"/>
          <w:szCs w:val="24"/>
        </w:rPr>
        <w:t>26 113,12 грн</w:t>
      </w:r>
      <w:r w:rsidRPr="00742462">
        <w:rPr>
          <w:rFonts w:ascii="Times New Roman" w:eastAsia="Times New Roman" w:hAnsi="Times New Roman"/>
          <w:b/>
          <w:color w:val="FF0000"/>
          <w:sz w:val="24"/>
          <w:szCs w:val="24"/>
        </w:rPr>
        <w:t>..</w:t>
      </w:r>
    </w:p>
    <w:p w14:paraId="3671C664" w14:textId="77777777" w:rsidR="00B3242D" w:rsidRPr="00005EB8" w:rsidRDefault="00B3242D" w:rsidP="00005EB8">
      <w:pPr>
        <w:spacing w:after="0" w:line="240" w:lineRule="auto"/>
        <w:ind w:firstLine="567"/>
        <w:jc w:val="both"/>
        <w:rPr>
          <w:rFonts w:ascii="Times New Roman" w:eastAsia="Times New Roman" w:hAnsi="Times New Roman"/>
          <w:b/>
          <w:bCs/>
          <w:sz w:val="24"/>
          <w:szCs w:val="24"/>
        </w:rPr>
      </w:pPr>
    </w:p>
    <w:p w14:paraId="3FFBB666" w14:textId="77777777" w:rsidR="00B42141" w:rsidRPr="00B3242D" w:rsidRDefault="00B42141" w:rsidP="00B42141">
      <w:pPr>
        <w:spacing w:after="0" w:line="240" w:lineRule="auto"/>
        <w:ind w:firstLine="720"/>
        <w:jc w:val="both"/>
        <w:rPr>
          <w:rFonts w:ascii="Times New Roman" w:eastAsia="Times New Roman" w:hAnsi="Times New Roman"/>
          <w:b/>
          <w:bCs/>
          <w:sz w:val="24"/>
          <w:szCs w:val="24"/>
        </w:rPr>
      </w:pPr>
      <w:r w:rsidRPr="00B3242D">
        <w:rPr>
          <w:rFonts w:ascii="Times New Roman" w:eastAsia="Times New Roman" w:hAnsi="Times New Roman"/>
          <w:b/>
          <w:bCs/>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w:t>
      </w:r>
      <w:r w:rsidR="00195973" w:rsidRPr="00B42141">
        <w:rPr>
          <w:rFonts w:ascii="Times New Roman" w:eastAsia="Times New Roman" w:hAnsi="Times New Roman"/>
          <w:color w:val="000000"/>
          <w:sz w:val="24"/>
          <w:szCs w:val="24"/>
        </w:rPr>
        <w:lastRenderedPageBreak/>
        <w:t xml:space="preserve">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t xml:space="preserve"> інформації щодо цін у відкритих джерелах інформації та відповідних договорів минулого періоду;</w:t>
      </w:r>
    </w:p>
    <w:p w14:paraId="1351E266" w14:textId="415C4A18" w:rsidR="000869A3"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інформації із сайт</w:t>
      </w:r>
      <w:r w:rsidR="00020B5F">
        <w:rPr>
          <w:rFonts w:ascii="Times New Roman" w:eastAsia="Times New Roman" w:hAnsi="Times New Roman"/>
          <w:color w:val="000000"/>
          <w:sz w:val="24"/>
          <w:szCs w:val="24"/>
        </w:rPr>
        <w:t>ів</w:t>
      </w:r>
      <w:r w:rsidR="00B3242D">
        <w:rPr>
          <w:rFonts w:ascii="Times New Roman" w:eastAsia="Times New Roman" w:hAnsi="Times New Roman"/>
          <w:color w:val="000000"/>
          <w:sz w:val="24"/>
          <w:szCs w:val="24"/>
        </w:rPr>
        <w:t xml:space="preserve"> в інтернет ресурсах</w:t>
      </w:r>
      <w:r>
        <w:rPr>
          <w:rFonts w:ascii="Times New Roman" w:eastAsia="Times New Roman" w:hAnsi="Times New Roman"/>
          <w:color w:val="000000"/>
          <w:sz w:val="24"/>
          <w:szCs w:val="24"/>
        </w:rPr>
        <w:t>.</w:t>
      </w:r>
    </w:p>
    <w:p w14:paraId="0C934C78" w14:textId="0EE4643E" w:rsidR="00020B5F" w:rsidRPr="00B42141" w:rsidRDefault="00020B5F"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комерційної пропозиції від постачальників.</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93B11F"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61069C1C"/>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20B5F"/>
    <w:rsid w:val="000869A3"/>
    <w:rsid w:val="000A2F8E"/>
    <w:rsid w:val="00195973"/>
    <w:rsid w:val="00206516"/>
    <w:rsid w:val="00230E52"/>
    <w:rsid w:val="002C2421"/>
    <w:rsid w:val="00394139"/>
    <w:rsid w:val="00404B1D"/>
    <w:rsid w:val="004202F3"/>
    <w:rsid w:val="004C0A9C"/>
    <w:rsid w:val="00531E81"/>
    <w:rsid w:val="005E7151"/>
    <w:rsid w:val="00665873"/>
    <w:rsid w:val="006E586E"/>
    <w:rsid w:val="0070006D"/>
    <w:rsid w:val="00742462"/>
    <w:rsid w:val="0075758B"/>
    <w:rsid w:val="00775B9B"/>
    <w:rsid w:val="008F5D70"/>
    <w:rsid w:val="0098067D"/>
    <w:rsid w:val="009D4E55"/>
    <w:rsid w:val="00A27C78"/>
    <w:rsid w:val="00A5239D"/>
    <w:rsid w:val="00A8357C"/>
    <w:rsid w:val="00B3242D"/>
    <w:rsid w:val="00B40A27"/>
    <w:rsid w:val="00B42141"/>
    <w:rsid w:val="00B72BF9"/>
    <w:rsid w:val="00B8797A"/>
    <w:rsid w:val="00C067E7"/>
    <w:rsid w:val="00CF214E"/>
    <w:rsid w:val="00D0421B"/>
    <w:rsid w:val="00D55340"/>
    <w:rsid w:val="00EC3C92"/>
    <w:rsid w:val="00F55A9F"/>
    <w:rsid w:val="00F94880"/>
    <w:rsid w:val="00FA75AD"/>
    <w:rsid w:val="00FC5B36"/>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2577</Words>
  <Characters>1469</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7</cp:revision>
  <dcterms:created xsi:type="dcterms:W3CDTF">2025-11-06T13:47:00Z</dcterms:created>
  <dcterms:modified xsi:type="dcterms:W3CDTF">2025-11-11T13:33:00Z</dcterms:modified>
</cp:coreProperties>
</file>