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C9BF" w14:textId="77777777" w:rsidR="00800A2B" w:rsidRDefault="00800A2B" w:rsidP="00800A2B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65C67A7A" w14:textId="77777777" w:rsidR="00800A2B" w:rsidRDefault="00800A2B" w:rsidP="00800A2B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558F36" w14:textId="77777777" w:rsidR="00800A2B" w:rsidRDefault="00800A2B" w:rsidP="00800A2B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0F63CBE2" w14:textId="77777777" w:rsidR="00800A2B" w:rsidRDefault="00800A2B" w:rsidP="00800A2B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02915899" w14:textId="77777777" w:rsidR="00800A2B" w:rsidRDefault="00800A2B" w:rsidP="00800A2B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«Оренда та обслуговування </w:t>
      </w:r>
      <w:proofErr w:type="spellStart"/>
      <w:r>
        <w:rPr>
          <w:b/>
          <w:i/>
          <w:sz w:val="24"/>
          <w:szCs w:val="24"/>
        </w:rPr>
        <w:t>біотуалетів</w:t>
      </w:r>
      <w:proofErr w:type="spellEnd"/>
      <w:r>
        <w:rPr>
          <w:b/>
          <w:i/>
          <w:sz w:val="24"/>
          <w:szCs w:val="24"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b/>
          <w:i/>
          <w:sz w:val="24"/>
          <w:szCs w:val="24"/>
        </w:rPr>
        <w:t>вбиралень</w:t>
      </w:r>
      <w:proofErr w:type="spellEnd"/>
      <w:r>
        <w:rPr>
          <w:b/>
          <w:i/>
          <w:sz w:val="24"/>
          <w:szCs w:val="24"/>
        </w:rPr>
        <w:t>)»</w:t>
      </w:r>
    </w:p>
    <w:p w14:paraId="1D00A19A" w14:textId="77777777" w:rsidR="00800A2B" w:rsidRDefault="00800A2B" w:rsidP="00800A2B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3C445761" w14:textId="77777777" w:rsidR="00800A2B" w:rsidRDefault="00800A2B" w:rsidP="00800A2B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>
        <w:rPr>
          <w:rFonts w:cs="Times New Roman"/>
          <w:i/>
        </w:rPr>
        <w:t xml:space="preserve">«Оренда та обслуговування </w:t>
      </w:r>
      <w:proofErr w:type="spellStart"/>
      <w:r>
        <w:rPr>
          <w:rFonts w:cs="Times New Roman"/>
          <w:i/>
        </w:rPr>
        <w:t>біотуалетів</w:t>
      </w:r>
      <w:proofErr w:type="spellEnd"/>
      <w:r>
        <w:rPr>
          <w:rFonts w:cs="Times New Roman"/>
          <w:i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  <w:i/>
        </w:rPr>
        <w:t>вбиралень</w:t>
      </w:r>
      <w:proofErr w:type="spellEnd"/>
      <w:r>
        <w:rPr>
          <w:rFonts w:cs="Times New Roman"/>
          <w:i/>
        </w:rPr>
        <w:t>)»</w:t>
      </w:r>
      <w:r>
        <w:rPr>
          <w:rFonts w:cs="Times New Roman"/>
        </w:rPr>
        <w:t xml:space="preserve"> для ведення господарської діяльності Дочірнього підприємства «Скнилів -парк»  Львівського комунального підприємства «Зелений Львів» (далі - ДП «Скнилів-парк»), а саме встановлення, оренда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на території парків Залізничного району: парк «</w:t>
      </w:r>
      <w:proofErr w:type="spellStart"/>
      <w:r>
        <w:rPr>
          <w:rFonts w:cs="Times New Roman"/>
        </w:rPr>
        <w:t>ім.І.Виговського</w:t>
      </w:r>
      <w:proofErr w:type="spellEnd"/>
      <w:r>
        <w:rPr>
          <w:rFonts w:cs="Times New Roman"/>
        </w:rPr>
        <w:t>», парк «</w:t>
      </w:r>
      <w:proofErr w:type="spellStart"/>
      <w:r>
        <w:rPr>
          <w:rFonts w:cs="Times New Roman"/>
        </w:rPr>
        <w:t>Левандівський</w:t>
      </w:r>
      <w:proofErr w:type="spellEnd"/>
      <w:r>
        <w:rPr>
          <w:rFonts w:cs="Times New Roman"/>
        </w:rPr>
        <w:t>»,  парк “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 xml:space="preserve">”, парк “Озеро </w:t>
      </w:r>
      <w:proofErr w:type="spellStart"/>
      <w:r>
        <w:rPr>
          <w:rFonts w:cs="Times New Roman"/>
        </w:rPr>
        <w:t>Левандівське</w:t>
      </w:r>
      <w:proofErr w:type="spellEnd"/>
      <w:r>
        <w:rPr>
          <w:rFonts w:cs="Times New Roman"/>
        </w:rPr>
        <w:t xml:space="preserve">”, лісопарк «Білогорща», в </w:t>
      </w:r>
      <w:proofErr w:type="spellStart"/>
      <w:r>
        <w:rPr>
          <w:rFonts w:cs="Times New Roman"/>
        </w:rPr>
        <w:t>т.ч</w:t>
      </w:r>
      <w:proofErr w:type="spellEnd"/>
      <w:r>
        <w:rPr>
          <w:rFonts w:cs="Times New Roman"/>
        </w:rPr>
        <w:t>. для маломобільних груп населення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.</w:t>
      </w:r>
    </w:p>
    <w:p w14:paraId="24D90B31" w14:textId="77777777" w:rsidR="00800A2B" w:rsidRDefault="00800A2B" w:rsidP="00800A2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58F204E" w14:textId="77777777" w:rsidR="00800A2B" w:rsidRDefault="00800A2B" w:rsidP="00800A2B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>
        <w:rPr>
          <w:rFonts w:cs="Times New Roman"/>
          <w:i/>
        </w:rPr>
        <w:t xml:space="preserve">«Оренда та обслуговування </w:t>
      </w:r>
      <w:proofErr w:type="spellStart"/>
      <w:r>
        <w:rPr>
          <w:rFonts w:cs="Times New Roman"/>
          <w:i/>
        </w:rPr>
        <w:t>біотуалетів</w:t>
      </w:r>
      <w:proofErr w:type="spellEnd"/>
      <w:r>
        <w:rPr>
          <w:rFonts w:cs="Times New Roman"/>
          <w:i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  <w:i/>
        </w:rPr>
        <w:t>вбиралень</w:t>
      </w:r>
      <w:proofErr w:type="spellEnd"/>
      <w:r>
        <w:rPr>
          <w:rFonts w:cs="Times New Roman"/>
          <w:i/>
        </w:rPr>
        <w:t>)»</w:t>
      </w:r>
    </w:p>
    <w:p w14:paraId="4ED73171" w14:textId="77777777" w:rsidR="00800A2B" w:rsidRDefault="00800A2B" w:rsidP="00800A2B">
      <w:pPr>
        <w:spacing w:after="0"/>
        <w:jc w:val="both"/>
        <w:rPr>
          <w:rFonts w:cs="Times New Roman"/>
        </w:rPr>
      </w:pPr>
    </w:p>
    <w:p w14:paraId="3090A57A" w14:textId="77777777" w:rsidR="00800A2B" w:rsidRDefault="00800A2B" w:rsidP="00800A2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3829029A" w14:textId="77777777" w:rsidR="00800A2B" w:rsidRDefault="00800A2B" w:rsidP="00800A2B">
      <w:pPr>
        <w:spacing w:after="0"/>
        <w:ind w:firstLine="567"/>
        <w:jc w:val="both"/>
        <w:rPr>
          <w:rFonts w:cs="Times New Roman"/>
        </w:rPr>
      </w:pPr>
    </w:p>
    <w:p w14:paraId="18559A26" w14:textId="77777777" w:rsidR="00800A2B" w:rsidRDefault="00800A2B" w:rsidP="00800A2B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а також для належного утримання об’єктів зеленого господарства необхідно здійснити закупівлю щодо оренди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у парках  м. Львова: парк «</w:t>
      </w:r>
      <w:proofErr w:type="spellStart"/>
      <w:r>
        <w:rPr>
          <w:rFonts w:cs="Times New Roman"/>
        </w:rPr>
        <w:t>ім.І.Виговського</w:t>
      </w:r>
      <w:proofErr w:type="spellEnd"/>
      <w:r>
        <w:rPr>
          <w:rFonts w:cs="Times New Roman"/>
        </w:rPr>
        <w:t>», парк «</w:t>
      </w:r>
      <w:proofErr w:type="spellStart"/>
      <w:r>
        <w:rPr>
          <w:rFonts w:cs="Times New Roman"/>
        </w:rPr>
        <w:t>Левандівський</w:t>
      </w:r>
      <w:proofErr w:type="spellEnd"/>
      <w:r>
        <w:rPr>
          <w:rFonts w:cs="Times New Roman"/>
        </w:rPr>
        <w:t>»,  парк “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 xml:space="preserve">”, парк “Озеро </w:t>
      </w:r>
      <w:proofErr w:type="spellStart"/>
      <w:r>
        <w:rPr>
          <w:rFonts w:cs="Times New Roman"/>
        </w:rPr>
        <w:t>Левандівське</w:t>
      </w:r>
      <w:proofErr w:type="spellEnd"/>
      <w:r>
        <w:rPr>
          <w:rFonts w:cs="Times New Roman"/>
        </w:rPr>
        <w:t>”, лісопарк «Білогорща») з урахувань потреби населення та осіб з маломобільних груп населення</w:t>
      </w:r>
    </w:p>
    <w:p w14:paraId="2707733B" w14:textId="77777777" w:rsidR="00800A2B" w:rsidRDefault="00800A2B" w:rsidP="00800A2B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«Оренда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</w:rPr>
        <w:t>вбиралень</w:t>
      </w:r>
      <w:proofErr w:type="spellEnd"/>
      <w:r>
        <w:rPr>
          <w:rFonts w:cs="Times New Roman"/>
        </w:rPr>
        <w:t>)», який оприлюднено на веб-порталі Уповноваженого органу (</w:t>
      </w:r>
      <w:hyperlink r:id="rId5" w:history="1">
        <w:r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63DC6696" w14:textId="77777777" w:rsidR="00800A2B" w:rsidRDefault="00800A2B" w:rsidP="00800A2B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Строк надання послуг з 01.03.2026 до 31.12.2026року включно</w:t>
      </w:r>
    </w:p>
    <w:p w14:paraId="195885A0" w14:textId="77777777" w:rsidR="00800A2B" w:rsidRDefault="00800A2B" w:rsidP="00800A2B">
      <w:pPr>
        <w:spacing w:after="0"/>
        <w:ind w:firstLine="567"/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Обсяг послуг - </w:t>
      </w:r>
      <w:r>
        <w:rPr>
          <w:rFonts w:cs="Times New Roman"/>
          <w:color w:val="FF0000"/>
        </w:rPr>
        <w:t>792</w:t>
      </w:r>
    </w:p>
    <w:p w14:paraId="740B0BA3" w14:textId="77777777" w:rsidR="00800A2B" w:rsidRDefault="00800A2B" w:rsidP="00800A2B">
      <w:pPr>
        <w:spacing w:after="0"/>
        <w:ind w:firstLine="567"/>
        <w:jc w:val="both"/>
        <w:rPr>
          <w:rFonts w:cs="Times New Roman"/>
          <w:i/>
        </w:rPr>
      </w:pPr>
    </w:p>
    <w:tbl>
      <w:tblPr>
        <w:tblStyle w:val="TableNormal1"/>
        <w:tblW w:w="964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1"/>
        <w:gridCol w:w="2460"/>
        <w:gridCol w:w="1984"/>
        <w:gridCol w:w="2268"/>
        <w:gridCol w:w="2135"/>
      </w:tblGrid>
      <w:tr w:rsidR="00800A2B" w14:paraId="726C8193" w14:textId="77777777" w:rsidTr="00800A2B">
        <w:trPr>
          <w:trHeight w:val="729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6CA551D" w14:textId="77777777" w:rsidR="00800A2B" w:rsidRDefault="00800A2B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№ п/п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B301EC3" w14:textId="77777777" w:rsidR="00800A2B" w:rsidRDefault="00800A2B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Назва/адреса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01907E5" w14:textId="77777777" w:rsidR="00800A2B" w:rsidRDefault="00800A2B">
            <w:pPr>
              <w:widowControl w:val="0"/>
              <w:shd w:val="clear" w:color="auto" w:fill="FFFFFF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Кількість кабінок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B5082C7" w14:textId="77777777" w:rsidR="00800A2B" w:rsidRDefault="00800A2B">
            <w:pPr>
              <w:widowControl w:val="0"/>
              <w:shd w:val="clear" w:color="auto" w:fill="FFFFFF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 xml:space="preserve">Кількість кабінок для осіб з </w:t>
            </w:r>
            <w:proofErr w:type="spellStart"/>
            <w:r>
              <w:rPr>
                <w:rFonts w:cs="Times New Roman"/>
                <w:b/>
                <w:bCs/>
                <w:color w:val="00000A"/>
                <w:szCs w:val="20"/>
              </w:rPr>
              <w:t>маломабільних</w:t>
            </w:r>
            <w:proofErr w:type="spellEnd"/>
            <w:r>
              <w:rPr>
                <w:rFonts w:cs="Times New Roman"/>
                <w:b/>
                <w:bCs/>
                <w:color w:val="00000A"/>
                <w:szCs w:val="20"/>
              </w:rPr>
              <w:t xml:space="preserve"> груп населення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B5FB0A" w14:textId="77777777" w:rsidR="00800A2B" w:rsidRDefault="00800A2B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Кількість прибирань</w:t>
            </w:r>
          </w:p>
        </w:tc>
      </w:tr>
      <w:tr w:rsidR="00800A2B" w14:paraId="2BF84C97" w14:textId="77777777" w:rsidTr="00800A2B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7B3E787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BC5FB16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 парк «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ім.І.Виговського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53E5B0D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437D651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25BE09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800A2B" w14:paraId="71156786" w14:textId="77777777" w:rsidTr="00800A2B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F9F174B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54D7B4D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«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Левандівський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88017E8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521FE70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42B02C1" w14:textId="77777777" w:rsidR="00800A2B" w:rsidRDefault="00800A2B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800A2B" w14:paraId="5C3A14B8" w14:textId="77777777" w:rsidTr="00800A2B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D316F79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3.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C8E4F18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“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Скнилівський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A7D3944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10AAE9D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1D96666" w14:textId="77777777" w:rsidR="00800A2B" w:rsidRDefault="00800A2B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800A2B" w14:paraId="6904F65C" w14:textId="77777777" w:rsidTr="00800A2B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B39CEFE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4.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3C6B6E6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“Озеро</w:t>
            </w:r>
          </w:p>
          <w:p w14:paraId="69635A1D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proofErr w:type="spellStart"/>
            <w:r>
              <w:rPr>
                <w:rFonts w:cs="Times New Roman"/>
                <w:color w:val="00000A"/>
                <w:szCs w:val="20"/>
              </w:rPr>
              <w:lastRenderedPageBreak/>
              <w:t>Левандівське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384EC18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D621B3A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-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7BB56FC" w14:textId="77777777" w:rsidR="00800A2B" w:rsidRDefault="00800A2B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800A2B" w14:paraId="2228FFD5" w14:textId="77777777" w:rsidTr="00800A2B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E6C0827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5.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181AD1E" w14:textId="77777777" w:rsidR="00800A2B" w:rsidRDefault="00800A2B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лісопарк «Білогорща»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6DB0F92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CF12C4F" w14:textId="77777777" w:rsidR="00800A2B" w:rsidRDefault="00800A2B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B3D8521" w14:textId="77777777" w:rsidR="00800A2B" w:rsidRDefault="00800A2B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</w:tbl>
    <w:p w14:paraId="19EB54BD" w14:textId="77777777" w:rsidR="00800A2B" w:rsidRDefault="00800A2B" w:rsidP="00800A2B">
      <w:pPr>
        <w:spacing w:after="0"/>
        <w:ind w:firstLine="567"/>
        <w:jc w:val="both"/>
        <w:rPr>
          <w:rFonts w:cs="Times New Roman"/>
          <w:i/>
        </w:rPr>
      </w:pPr>
    </w:p>
    <w:p w14:paraId="741E9FA3" w14:textId="77777777" w:rsidR="00800A2B" w:rsidRDefault="00800A2B" w:rsidP="00800A2B">
      <w:pPr>
        <w:spacing w:after="0"/>
        <w:ind w:firstLine="567"/>
        <w:jc w:val="both"/>
        <w:rPr>
          <w:rFonts w:cs="Times New Roman"/>
        </w:rPr>
      </w:pPr>
    </w:p>
    <w:p w14:paraId="55DF2D45" w14:textId="77777777" w:rsidR="00800A2B" w:rsidRDefault="00800A2B" w:rsidP="00800A2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6DD8900C" w14:textId="77777777" w:rsidR="00800A2B" w:rsidRDefault="00800A2B" w:rsidP="00800A2B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435 600грн з ПДВ.</w:t>
      </w:r>
    </w:p>
    <w:p w14:paraId="281B105A" w14:textId="77777777" w:rsidR="00800A2B" w:rsidRDefault="00800A2B" w:rsidP="00800A2B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тарифів компаній, що надають аналогічні послуги, інформації з системи </w:t>
      </w:r>
      <w:proofErr w:type="spellStart"/>
      <w:r>
        <w:rPr>
          <w:rFonts w:cs="Times New Roman"/>
          <w:lang w:val="en-US"/>
        </w:rPr>
        <w:t>Prozorro</w:t>
      </w:r>
      <w:proofErr w:type="spellEnd"/>
      <w:r w:rsidRPr="00800A2B">
        <w:rPr>
          <w:rFonts w:cs="Times New Roman"/>
        </w:rPr>
        <w:t xml:space="preserve"> </w:t>
      </w:r>
      <w:r>
        <w:rPr>
          <w:rFonts w:cs="Times New Roman"/>
        </w:rPr>
        <w:t>.</w:t>
      </w:r>
    </w:p>
    <w:p w14:paraId="314F0711" w14:textId="77777777" w:rsidR="00800A2B" w:rsidRDefault="00800A2B" w:rsidP="00800A2B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Розмір бюджетного призначення: </w:t>
      </w:r>
      <w:r>
        <w:rPr>
          <w:rFonts w:cs="Times New Roman"/>
          <w:i/>
        </w:rPr>
        <w:t>435 600 грн з ПДВ.</w:t>
      </w:r>
    </w:p>
    <w:p w14:paraId="3FCEDDC2" w14:textId="77777777" w:rsidR="00800A2B" w:rsidRDefault="00800A2B" w:rsidP="00800A2B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Розмір бюджетного призначення визначений з урахуванням Ухвали Львівської міської ради від 7244 </w:t>
      </w:r>
    </w:p>
    <w:p w14:paraId="7E1E395C" w14:textId="77777777" w:rsidR="00800A2B" w:rsidRDefault="00800A2B" w:rsidP="00800A2B">
      <w:pPr>
        <w:spacing w:after="0"/>
        <w:jc w:val="both"/>
        <w:rPr>
          <w:rFonts w:cs="Times New Roman"/>
          <w:color w:val="FF0000"/>
        </w:rPr>
      </w:pPr>
      <w:r>
        <w:rPr>
          <w:rFonts w:cs="Times New Roman"/>
        </w:rPr>
        <w:t>від 18.12.2025 «Про бюджет Львівської міської територіальної громади на 2026 рік»</w:t>
      </w:r>
    </w:p>
    <w:p w14:paraId="66939DB3" w14:textId="77777777" w:rsidR="00625B15" w:rsidRDefault="00625B15"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0"/>
    <w:rsid w:val="00150930"/>
    <w:rsid w:val="00625B15"/>
    <w:rsid w:val="008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E091E-72B5-4018-B4DC-39D1C5D7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2B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A2B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00A2B"/>
    <w:pPr>
      <w:ind w:left="720"/>
      <w:contextualSpacing/>
    </w:pPr>
  </w:style>
  <w:style w:type="table" w:customStyle="1" w:styleId="TableNormal1">
    <w:name w:val="Table Normal1"/>
    <w:rsid w:val="00800A2B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1476</Characters>
  <Application>Microsoft Office Word</Application>
  <DocSecurity>0</DocSecurity>
  <Lines>12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2026-01-20T19:12:00Z</dcterms:created>
  <dcterms:modified xsi:type="dcterms:W3CDTF">2026-01-20T19:12:00Z</dcterms:modified>
</cp:coreProperties>
</file>