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8EBA" w14:textId="77777777" w:rsidR="00D1224D" w:rsidRPr="00D1224D" w:rsidRDefault="00D1224D" w:rsidP="00D1224D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hAnsi="Times New Roman"/>
          <w:b/>
          <w:color w:val="000000" w:themeColor="text1"/>
          <w:kern w:val="1"/>
          <w:sz w:val="24"/>
          <w:szCs w:val="24"/>
          <w:lang w:eastAsia="ar-SA"/>
        </w:rPr>
        <w:t>«Послуги із забезпечення доступу та обслуговування локальної мережі»</w:t>
      </w:r>
    </w:p>
    <w:p w14:paraId="01CB6225" w14:textId="77777777" w:rsidR="00D1224D" w:rsidRPr="00D1224D" w:rsidRDefault="00D1224D" w:rsidP="00D1224D">
      <w:pPr>
        <w:jc w:val="center"/>
        <w:rPr>
          <w:rFonts w:ascii="Times New Roman" w:hAnsi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hAnsi="Times New Roman"/>
          <w:b/>
          <w:color w:val="000000" w:themeColor="text1"/>
          <w:kern w:val="1"/>
          <w:sz w:val="24"/>
          <w:szCs w:val="24"/>
          <w:lang w:eastAsia="ar-SA"/>
        </w:rPr>
        <w:t>(ДК 021:2015: 50330000-7 Послуги з технічного обслуговування телекомунікаційного обладнання)</w:t>
      </w:r>
    </w:p>
    <w:p w14:paraId="7280E08F" w14:textId="70065361" w:rsidR="00D1224D" w:rsidRPr="00D1224D" w:rsidRDefault="00D1224D" w:rsidP="00D1224D">
      <w:pPr>
        <w:pStyle w:val="ae"/>
        <w:ind w:firstLine="567"/>
        <w:jc w:val="both"/>
        <w:rPr>
          <w:color w:val="000000" w:themeColor="text1"/>
          <w:sz w:val="24"/>
          <w:szCs w:val="24"/>
        </w:rPr>
      </w:pPr>
      <w:r w:rsidRPr="00D1224D">
        <w:rPr>
          <w:color w:val="000000" w:themeColor="text1"/>
          <w:sz w:val="24"/>
          <w:szCs w:val="24"/>
        </w:rPr>
        <w:t>На виконання постанови КМУ від 11 жовтня 2016 р. №</w:t>
      </w:r>
      <w:r w:rsidRPr="00D1224D">
        <w:rPr>
          <w:i/>
          <w:color w:val="000000" w:themeColor="text1"/>
          <w:sz w:val="24"/>
          <w:szCs w:val="24"/>
        </w:rPr>
        <w:t xml:space="preserve"> </w:t>
      </w:r>
      <w:r w:rsidRPr="00D1224D">
        <w:rPr>
          <w:color w:val="000000" w:themeColor="text1"/>
          <w:sz w:val="24"/>
          <w:szCs w:val="24"/>
        </w:rPr>
        <w:t xml:space="preserve">710 ‹Про ефективне використання державних коштів» у зв’язку із необхідністю проведення закупівлі «Послуги із забезпечення доступу та обслуговування локальної мережі» (ДК 021:2015: 50330000-7 Послуги з технічного обслуговування телекомунікаційного обладнання) для потреб </w:t>
      </w:r>
      <w:r>
        <w:rPr>
          <w:color w:val="000000" w:themeColor="text1"/>
          <w:sz w:val="24"/>
          <w:szCs w:val="24"/>
        </w:rPr>
        <w:t>д</w:t>
      </w:r>
      <w:r w:rsidRPr="00D1224D">
        <w:rPr>
          <w:color w:val="000000" w:themeColor="text1"/>
          <w:sz w:val="24"/>
          <w:szCs w:val="24"/>
        </w:rPr>
        <w:t>епартаменту фінансової політики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5533B3DA" w14:textId="77777777" w:rsidR="00D1224D" w:rsidRPr="00D1224D" w:rsidRDefault="00D1224D" w:rsidP="00D1224D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122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Hазва пpeдмета закупівлі із зазначенням коду за Єдиним закупівельним словником:</w:t>
      </w:r>
    </w:p>
    <w:p w14:paraId="3B87A450" w14:textId="77777777" w:rsidR="00D1224D" w:rsidRPr="00D1224D" w:rsidRDefault="00D1224D" w:rsidP="00D1224D">
      <w:pPr>
        <w:pStyle w:val="ae"/>
        <w:ind w:firstLine="426"/>
        <w:jc w:val="both"/>
        <w:rPr>
          <w:color w:val="000000" w:themeColor="text1"/>
          <w:sz w:val="24"/>
          <w:szCs w:val="24"/>
        </w:rPr>
      </w:pPr>
      <w:r w:rsidRPr="00D1224D">
        <w:rPr>
          <w:color w:val="000000" w:themeColor="text1"/>
          <w:sz w:val="24"/>
          <w:szCs w:val="24"/>
        </w:rPr>
        <w:t xml:space="preserve">«Послуги із забезпечення доступу та обслуговування локальної мережі» (ДК </w:t>
      </w:r>
      <w:r w:rsidRPr="00D1224D">
        <w:rPr>
          <w:color w:val="000000" w:themeColor="text1"/>
          <w:kern w:val="1"/>
          <w:sz w:val="24"/>
          <w:szCs w:val="24"/>
          <w:lang w:eastAsia="ar-SA"/>
        </w:rPr>
        <w:t>021:2015: 50330000-7</w:t>
      </w:r>
      <w:r w:rsidRPr="00D1224D">
        <w:rPr>
          <w:color w:val="000000" w:themeColor="text1"/>
          <w:sz w:val="24"/>
          <w:szCs w:val="24"/>
        </w:rPr>
        <w:t xml:space="preserve"> Послуги з технічного обслуговування телекомунікаційного обладнання)</w:t>
      </w:r>
    </w:p>
    <w:p w14:paraId="5DB75D0A" w14:textId="77777777" w:rsidR="00D1224D" w:rsidRPr="00D1224D" w:rsidRDefault="00D1224D" w:rsidP="00D1224D">
      <w:pPr>
        <w:pStyle w:val="ae"/>
        <w:numPr>
          <w:ilvl w:val="0"/>
          <w:numId w:val="1"/>
        </w:numPr>
        <w:ind w:firstLine="84"/>
        <w:jc w:val="both"/>
        <w:rPr>
          <w:color w:val="000000" w:themeColor="text1"/>
          <w:sz w:val="24"/>
          <w:szCs w:val="24"/>
        </w:rPr>
      </w:pPr>
      <w:r w:rsidRPr="00D1224D">
        <w:rPr>
          <w:b/>
          <w:bCs/>
          <w:color w:val="000000" w:themeColor="text1"/>
          <w:sz w:val="24"/>
          <w:szCs w:val="24"/>
        </w:rPr>
        <w:t>Вид та ідентифікатор процедури закупівл</w:t>
      </w:r>
      <w:r w:rsidRPr="00D1224D">
        <w:rPr>
          <w:color w:val="000000" w:themeColor="text1"/>
          <w:sz w:val="24"/>
          <w:szCs w:val="24"/>
        </w:rPr>
        <w:t>і: відкриті торги з особливостями, UA-2026- 02-11-015383-а</w:t>
      </w:r>
    </w:p>
    <w:p w14:paraId="5E792983" w14:textId="77777777" w:rsidR="00D1224D" w:rsidRPr="00D1224D" w:rsidRDefault="00D1224D" w:rsidP="00D1224D">
      <w:pPr>
        <w:pStyle w:val="1"/>
        <w:numPr>
          <w:ilvl w:val="0"/>
          <w:numId w:val="1"/>
        </w:numPr>
        <w:tabs>
          <w:tab w:val="left" w:pos="34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2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Обґрунтуваня технічних та якісних характеристик предмета закупівлі</w:t>
      </w:r>
      <w:r w:rsidRPr="00D122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93A8178" w14:textId="77777777" w:rsidR="00D1224D" w:rsidRPr="00D1224D" w:rsidRDefault="00D1224D" w:rsidP="00D1224D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Підтримка працездатності комп’ютерної локальної мережі замовника в безперервному режимі – 24/7.</w:t>
      </w:r>
    </w:p>
    <w:p w14:paraId="0485D49B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Налаштування окремої віртуальної локальної мережі (VLAN) засобами, що мають діючий висновок щодо відповідності вимогам нормативних документів з технічного захисту інформації для підключення незалежного з’єднання, що буде відстежуватися і контролюватися системою моніторингу згідно вимог та звернень замовника. Маршрутизація локальної мережі та звʼязок з іншими мережами повинен забезпечуватися апаратним маршрутизатором з функцією міжмережевого екрану наступного покоління (Next-Generation Firewall (NGFW) з загальною пропускною здатністю не менше 2 Гбіт/с.</w:t>
      </w:r>
    </w:p>
    <w:p w14:paraId="1D39E307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Здійснення постійного та безперервного моніторингу працездатності мережного обладнання в системі моніторингу служб і станів комп’ютерної мережі.</w:t>
      </w:r>
    </w:p>
    <w:p w14:paraId="50C7372B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Забезпечення оптичного каналу зв’язку для можливості налаштування та моніторингу  доступу та обслуговування локальних мереж.</w:t>
      </w:r>
    </w:p>
    <w:p w14:paraId="059C4C3C" w14:textId="77777777" w:rsidR="00D1224D" w:rsidRPr="00D1224D" w:rsidRDefault="00D1224D" w:rsidP="00D1224D">
      <w:pPr>
        <w:pStyle w:val="ListParagraph1"/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Забезпечення надійної та безперебійної роботи локальної мережі, яке можливе за наявності  керованиих комутаторів 2 рівня, моделі (модель) яких мають висновок щодо відповідності вимогам нормативних документів з технічного захисту інформації та відповідають наступним вимогам або є кращими:</w:t>
      </w:r>
    </w:p>
    <w:p w14:paraId="58254494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  <w:lang w:val="ru-RU"/>
        </w:rPr>
        <w:t>Фіксована 1</w:t>
      </w:r>
      <w:r w:rsidRPr="00D1224D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1224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для встановлення в 19” шафу</w:t>
      </w:r>
    </w:p>
    <w:p w14:paraId="28C4D71B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  <w:lang w:val="ru-RU"/>
        </w:rPr>
        <w:t>Не менше 24 портів, не гірше ніж 1000</w:t>
      </w:r>
      <w:r w:rsidRPr="00D1224D">
        <w:rPr>
          <w:rFonts w:ascii="Times New Roman" w:hAnsi="Times New Roman"/>
          <w:color w:val="000000" w:themeColor="text1"/>
          <w:sz w:val="24"/>
          <w:szCs w:val="24"/>
        </w:rPr>
        <w:t>BaseT</w:t>
      </w:r>
    </w:p>
    <w:p w14:paraId="227CEB85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  <w:lang w:val="ru-RU"/>
        </w:rPr>
        <w:t>Не менше 4 портів 1</w:t>
      </w:r>
      <w:r w:rsidRPr="00D1224D">
        <w:rPr>
          <w:rFonts w:ascii="Times New Roman" w:hAnsi="Times New Roman"/>
          <w:color w:val="000000" w:themeColor="text1"/>
          <w:sz w:val="24"/>
          <w:szCs w:val="24"/>
        </w:rPr>
        <w:t>Gb</w:t>
      </w:r>
      <w:r w:rsidRPr="00D1224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1224D">
        <w:rPr>
          <w:rFonts w:ascii="Times New Roman" w:hAnsi="Times New Roman"/>
          <w:color w:val="000000" w:themeColor="text1"/>
          <w:sz w:val="24"/>
          <w:szCs w:val="24"/>
        </w:rPr>
        <w:t xml:space="preserve">SFP </w:t>
      </w:r>
    </w:p>
    <w:p w14:paraId="2D641673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Пропускна ємність комутації не менше 41 млн.пак./сек</w:t>
      </w:r>
    </w:p>
    <w:p w14:paraId="73BDF80A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Загальна ємність комутації не менше 56Гб/с у режимі повного дуплекса</w:t>
      </w:r>
    </w:p>
    <w:p w14:paraId="59E195A9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Розмір таблиці MAC</w:t>
      </w:r>
      <w:r w:rsidRPr="00D1224D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-</w:t>
      </w: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адрес не менше </w:t>
      </w:r>
      <w:r w:rsidRPr="00D1224D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8192</w:t>
      </w: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записів</w:t>
      </w:r>
    </w:p>
    <w:p w14:paraId="3E376251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Підтримка Jumbo</w:t>
      </w:r>
      <w:r w:rsidRPr="00D1224D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-</w:t>
      </w: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кадрів розміром не менше 9220 байт</w:t>
      </w:r>
    </w:p>
    <w:p w14:paraId="6DC382CF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Функціональні вимоги Dynamic Host Configuration Protocol (DHCP)</w:t>
      </w:r>
    </w:p>
    <w:p w14:paraId="007E20AF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Cумісність з Radius Server та Aruba Clear Pass або еквівалентним сервісом</w:t>
      </w:r>
    </w:p>
    <w:p w14:paraId="01B89931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Internet Group Management Protocol (IGMP) v2</w:t>
      </w:r>
    </w:p>
    <w:p w14:paraId="21D9A872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Voice VLAN</w:t>
      </w:r>
    </w:p>
    <w:p w14:paraId="361FF2DE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Rapid Per-VLAN Spanning Tree (RPVST+)</w:t>
      </w:r>
    </w:p>
    <w:p w14:paraId="02B50ADA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Network Timing Protocol (NTP)</w:t>
      </w:r>
    </w:p>
    <w:p w14:paraId="766E010B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bCs/>
          <w:color w:val="000000" w:themeColor="text1"/>
          <w:sz w:val="24"/>
          <w:szCs w:val="24"/>
        </w:rPr>
        <w:t>порти з підтримкою РоЕ</w:t>
      </w:r>
    </w:p>
    <w:p w14:paraId="752AF782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IEEE 802.3ad Link Aggregation Control Protocol (LACP)</w:t>
      </w:r>
    </w:p>
    <w:p w14:paraId="0C663861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MAC-based VLAN assignment</w:t>
      </w:r>
    </w:p>
    <w:p w14:paraId="488DA858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Access Control Lists (ACLs) на основі VLAN та портів</w:t>
      </w:r>
    </w:p>
    <w:p w14:paraId="7D802044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lastRenderedPageBreak/>
        <w:t>Spanning Tree Root Guard (STRG)</w:t>
      </w:r>
    </w:p>
    <w:p w14:paraId="3762CAE9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Bridge protocol data unit (BPDU) Guard</w:t>
      </w:r>
    </w:p>
    <w:p w14:paraId="640F305F" w14:textId="77777777" w:rsidR="00D1224D" w:rsidRPr="00D1224D" w:rsidRDefault="00D1224D" w:rsidP="00D1224D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Дзеркалювання портів</w:t>
      </w:r>
    </w:p>
    <w:p w14:paraId="35BFA3A6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Здійснення підтримки користувачів (замовника) у робочий час замовника як віддалено так і локально за адресою замовника/встановленого обладнання.</w:t>
      </w:r>
    </w:p>
    <w:p w14:paraId="13F5E9CE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Належна підтримка замовника здійснюється через багатоканальну лінію зв’язку (з можливістю одночасної підтримки більше ніж одного заявника в телефонному режимі).</w:t>
      </w:r>
    </w:p>
    <w:p w14:paraId="5C1736C9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Служба підтримки виконавця щодо надання послуг з обслуговування локальної комп’ютерної мережі повинна забезпечувати наступне:</w:t>
      </w:r>
    </w:p>
    <w:p w14:paraId="019DAAA5" w14:textId="77777777" w:rsidR="00D1224D" w:rsidRPr="00D1224D" w:rsidRDefault="00D1224D" w:rsidP="00D1224D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 xml:space="preserve">• Реєстрація звернень в єдиній CRM чи </w:t>
      </w: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val="en-US" w:eastAsia="ar-SA"/>
        </w:rPr>
        <w:t>ITSM</w:t>
      </w: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 xml:space="preserve"> системі;</w:t>
      </w:r>
    </w:p>
    <w:p w14:paraId="18A82574" w14:textId="77777777" w:rsidR="00D1224D" w:rsidRPr="00D1224D" w:rsidRDefault="00D1224D" w:rsidP="00D1224D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• Супровід заявки до моменту повного вирішення звернення;</w:t>
      </w:r>
    </w:p>
    <w:p w14:paraId="05B19EC0" w14:textId="77777777" w:rsidR="00D1224D" w:rsidRPr="00D1224D" w:rsidRDefault="00D1224D" w:rsidP="00D1224D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• Зворотній зв’язок з користувачем (замовником) після закриття звернення;</w:t>
      </w:r>
    </w:p>
    <w:p w14:paraId="0A23CEEF" w14:textId="77777777" w:rsidR="00D1224D" w:rsidRPr="00D1224D" w:rsidRDefault="00D1224D" w:rsidP="00D1224D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• Запис телефонних розмов з користувачем (замовником).</w:t>
      </w:r>
    </w:p>
    <w:p w14:paraId="1AC651E0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Здійснення постійного та безперервного моніторингу ресурсів та використаного трафіку.</w:t>
      </w:r>
    </w:p>
    <w:p w14:paraId="453FAC32" w14:textId="77777777" w:rsidR="00D1224D" w:rsidRPr="00D1224D" w:rsidRDefault="00D1224D" w:rsidP="00D1224D">
      <w:pPr>
        <w:pStyle w:val="ListParagraph1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Здійснення підключення користувачів до комп’ютерної мережі (ПК- розетка RJ-45), за необхідності, здійснення заміни розеток, конекторів, мережевого кабелю, тощо.</w:t>
      </w:r>
    </w:p>
    <w:p w14:paraId="36BDC3A2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  <w:t>Забезпечення відновлення працездатності та/або заміну обладнання не пізніше 2-х годин з моменту звернення. У випадку виходу з ладу обладнання його заміна має здійснюватися протягом 3 годин (не більше). Час виконання робочі дні/ години замовника.</w:t>
      </w:r>
    </w:p>
    <w:p w14:paraId="2906E855" w14:textId="77777777" w:rsidR="00D1224D" w:rsidRPr="00D1224D" w:rsidRDefault="00D1224D" w:rsidP="00D122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rFonts w:ascii="Times New Roman" w:hAnsi="Times New Roman"/>
          <w:color w:val="000000" w:themeColor="text1"/>
          <w:sz w:val="24"/>
          <w:szCs w:val="24"/>
        </w:rPr>
        <w:t>Виконавець забезпечує організацію надання послуги з дати підписання договору.</w:t>
      </w:r>
    </w:p>
    <w:p w14:paraId="090BCD7D" w14:textId="77777777" w:rsidR="00D1224D" w:rsidRPr="00D1224D" w:rsidRDefault="00D1224D" w:rsidP="00D1224D">
      <w:pPr>
        <w:pStyle w:val="ae"/>
        <w:ind w:firstLine="284"/>
        <w:jc w:val="both"/>
        <w:rPr>
          <w:color w:val="000000" w:themeColor="text1"/>
          <w:kern w:val="1"/>
          <w:sz w:val="24"/>
          <w:szCs w:val="24"/>
          <w:lang w:eastAsia="ar-SA"/>
        </w:rPr>
      </w:pPr>
      <w:r w:rsidRPr="00D1224D">
        <w:rPr>
          <w:b/>
          <w:color w:val="000000" w:themeColor="text1"/>
          <w:kern w:val="1"/>
          <w:sz w:val="24"/>
          <w:szCs w:val="24"/>
          <w:lang w:eastAsia="ar-SA"/>
        </w:rPr>
        <w:t xml:space="preserve">Орієнтовна кількість пристроїв замовника яким необхідно забезпечити доступ до локальної комп’ютерної мережі – </w:t>
      </w:r>
      <w:r w:rsidRPr="00D1224D">
        <w:rPr>
          <w:b/>
          <w:color w:val="000000" w:themeColor="text1"/>
          <w:kern w:val="1"/>
          <w:sz w:val="24"/>
          <w:szCs w:val="24"/>
          <w:lang w:val="ru-RU" w:eastAsia="ar-SA"/>
        </w:rPr>
        <w:t>93</w:t>
      </w:r>
      <w:r w:rsidRPr="00D1224D">
        <w:rPr>
          <w:color w:val="000000" w:themeColor="text1"/>
          <w:kern w:val="1"/>
          <w:sz w:val="24"/>
          <w:szCs w:val="24"/>
          <w:lang w:eastAsia="ar-SA"/>
        </w:rPr>
        <w:t>.</w:t>
      </w:r>
    </w:p>
    <w:p w14:paraId="24D6E843" w14:textId="77777777" w:rsidR="00D1224D" w:rsidRPr="00D1224D" w:rsidRDefault="00D1224D" w:rsidP="00D1224D">
      <w:pPr>
        <w:pStyle w:val="ae"/>
        <w:ind w:firstLine="284"/>
        <w:jc w:val="both"/>
        <w:rPr>
          <w:color w:val="000000" w:themeColor="text1"/>
          <w:sz w:val="24"/>
          <w:szCs w:val="24"/>
        </w:rPr>
      </w:pPr>
    </w:p>
    <w:p w14:paraId="6399207D" w14:textId="77777777" w:rsidR="00D1224D" w:rsidRPr="00D1224D" w:rsidRDefault="00D1224D" w:rsidP="00D1224D">
      <w:pPr>
        <w:pStyle w:val="1"/>
        <w:numPr>
          <w:ilvl w:val="0"/>
          <w:numId w:val="1"/>
        </w:numPr>
        <w:tabs>
          <w:tab w:val="left" w:pos="350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122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Очікувана вартість та/або розмір бюджетного призначення:</w:t>
      </w:r>
    </w:p>
    <w:p w14:paraId="67E9D877" w14:textId="2E35B7ED" w:rsidR="00D1224D" w:rsidRDefault="00D1224D" w:rsidP="00D1224D">
      <w:pPr>
        <w:pStyle w:val="ae"/>
        <w:ind w:firstLine="284"/>
        <w:jc w:val="both"/>
        <w:rPr>
          <w:color w:val="000000" w:themeColor="text1"/>
          <w:sz w:val="24"/>
          <w:szCs w:val="24"/>
        </w:rPr>
      </w:pPr>
      <w:r w:rsidRPr="00D1224D">
        <w:rPr>
          <w:color w:val="000000" w:themeColor="text1"/>
          <w:sz w:val="24"/>
          <w:szCs w:val="24"/>
        </w:rPr>
        <w:t xml:space="preserve">При визначенні очікуваної вартості замовник неухильно дотримувався принципів проведення публічних закупівель, визначених статтею 5 Закону України "Про публічні закупівлі" та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із застосуванням методу </w:t>
      </w:r>
      <w:r w:rsidR="0066077C">
        <w:rPr>
          <w:color w:val="000000" w:themeColor="text1"/>
          <w:sz w:val="24"/>
          <w:szCs w:val="24"/>
        </w:rPr>
        <w:t>статистичного аналізу інформації про</w:t>
      </w:r>
      <w:r w:rsidRPr="00D1224D">
        <w:rPr>
          <w:color w:val="000000" w:themeColor="text1"/>
          <w:sz w:val="24"/>
          <w:szCs w:val="24"/>
        </w:rPr>
        <w:t xml:space="preserve"> цін</w:t>
      </w:r>
      <w:r w:rsidR="0066077C">
        <w:rPr>
          <w:color w:val="000000" w:themeColor="text1"/>
          <w:sz w:val="24"/>
          <w:szCs w:val="24"/>
        </w:rPr>
        <w:t>у предмета закупівлі (порівняння цін</w:t>
      </w:r>
      <w:r>
        <w:rPr>
          <w:color w:val="000000" w:themeColor="text1"/>
          <w:sz w:val="24"/>
          <w:szCs w:val="24"/>
        </w:rPr>
        <w:t xml:space="preserve"> на аналогічні послуги, закуплені у попередні періоди та цін послуг, що містяться в мережі Інтернет у відкритому доступі</w:t>
      </w:r>
      <w:r w:rsidR="0066077C">
        <w:rPr>
          <w:color w:val="000000" w:themeColor="text1"/>
          <w:sz w:val="24"/>
          <w:szCs w:val="24"/>
        </w:rPr>
        <w:t>).</w:t>
      </w:r>
    </w:p>
    <w:p w14:paraId="04804690" w14:textId="00A10CCD" w:rsidR="00D1224D" w:rsidRPr="00D1224D" w:rsidRDefault="00D1224D" w:rsidP="00D1224D">
      <w:pPr>
        <w:pStyle w:val="ae"/>
        <w:ind w:firstLine="284"/>
        <w:jc w:val="both"/>
        <w:rPr>
          <w:b/>
          <w:bCs/>
          <w:color w:val="000000" w:themeColor="text1"/>
          <w:sz w:val="24"/>
          <w:szCs w:val="24"/>
        </w:rPr>
      </w:pPr>
      <w:r w:rsidRPr="00D1224D">
        <w:rPr>
          <w:color w:val="000000" w:themeColor="text1"/>
          <w:sz w:val="24"/>
          <w:szCs w:val="24"/>
        </w:rPr>
        <w:t>Розмір бюджетного призначення визначено виходячи із пропозицій до бюджету на 2026 рік, а також відповідно до прийнятої ухвали Львівської міської ради від 18.12.2025 № 7244 «Про бюджет Львівської міської територіальної громади на 2026 рік». Очікувану вартість процедури  закупівлі в розмірі 174100 грн визначено за мінусом очікуваної вартості послуг за січень-лютий 2026р., що не перевищує 20 відсотків суми, визначеної в договорі, укладеному в 2025 році (оскільки дію цього договору продовжено на строк до 28.02.2026р. достатній для проведення процедури закупівлі на початку 2026 року). Термін надання послуг – до грудня 202</w:t>
      </w:r>
      <w:r w:rsidRPr="00D1224D">
        <w:rPr>
          <w:color w:val="000000" w:themeColor="text1"/>
          <w:sz w:val="24"/>
          <w:szCs w:val="24"/>
          <w:lang w:val="ru-RU"/>
        </w:rPr>
        <w:t>6</w:t>
      </w:r>
      <w:r w:rsidRPr="00D1224D">
        <w:rPr>
          <w:color w:val="000000" w:themeColor="text1"/>
          <w:sz w:val="24"/>
          <w:szCs w:val="24"/>
        </w:rPr>
        <w:t xml:space="preserve"> року.</w:t>
      </w:r>
    </w:p>
    <w:p w14:paraId="481FAC0C" w14:textId="77777777" w:rsidR="00D1224D" w:rsidRPr="00D1224D" w:rsidRDefault="00D1224D" w:rsidP="00D1224D">
      <w:pPr>
        <w:pStyle w:val="ae"/>
        <w:ind w:right="102" w:firstLine="284"/>
        <w:jc w:val="both"/>
        <w:rPr>
          <w:color w:val="000000" w:themeColor="text1"/>
          <w:sz w:val="24"/>
          <w:szCs w:val="24"/>
        </w:rPr>
      </w:pPr>
    </w:p>
    <w:p w14:paraId="36C972B6" w14:textId="77777777" w:rsidR="00E758DE" w:rsidRPr="00D1224D" w:rsidRDefault="00E758DE">
      <w:pPr>
        <w:rPr>
          <w:rFonts w:ascii="Times New Roman" w:hAnsi="Times New Roman"/>
          <w:color w:val="000000" w:themeColor="text1"/>
        </w:rPr>
      </w:pPr>
    </w:p>
    <w:sectPr w:rsidR="00E758DE" w:rsidRPr="00D1224D" w:rsidSect="00D1224D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150A2"/>
    <w:multiLevelType w:val="hybridMultilevel"/>
    <w:tmpl w:val="44029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FB71FB"/>
    <w:multiLevelType w:val="hybridMultilevel"/>
    <w:tmpl w:val="8FA8C8CE"/>
    <w:lvl w:ilvl="0" w:tplc="0EBECDD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4F03FE"/>
    <w:multiLevelType w:val="hybridMultilevel"/>
    <w:tmpl w:val="29A8A0AE"/>
    <w:lvl w:ilvl="0" w:tplc="C05AE3DC">
      <w:start w:val="2"/>
      <w:numFmt w:val="decimal"/>
      <w:lvlText w:val="%1."/>
      <w:lvlJc w:val="left"/>
      <w:pPr>
        <w:ind w:left="342" w:hanging="220"/>
      </w:pPr>
      <w:rPr>
        <w:rFonts w:ascii="Times New Roman" w:eastAsia="Times New Roman" w:hAnsi="Times New Roman" w:cs="Times New Roman" w:hint="default"/>
        <w:b/>
        <w:bCs/>
        <w:i w:val="0"/>
        <w:iCs/>
        <w:w w:val="95"/>
        <w:sz w:val="24"/>
        <w:szCs w:val="24"/>
        <w:lang w:val="uk-UA" w:eastAsia="en-US" w:bidi="ar-SA"/>
      </w:rPr>
    </w:lvl>
    <w:lvl w:ilvl="1" w:tplc="4CD86900">
      <w:numFmt w:val="bullet"/>
      <w:lvlText w:val="•"/>
      <w:lvlJc w:val="left"/>
      <w:pPr>
        <w:ind w:left="1538" w:hanging="715"/>
      </w:pPr>
      <w:rPr>
        <w:rFonts w:hint="default"/>
        <w:w w:val="105"/>
        <w:lang w:val="uk-UA" w:eastAsia="en-US" w:bidi="ar-SA"/>
      </w:rPr>
    </w:lvl>
    <w:lvl w:ilvl="2" w:tplc="B002E31A">
      <w:numFmt w:val="bullet"/>
      <w:lvlText w:val="•"/>
      <w:lvlJc w:val="left"/>
      <w:pPr>
        <w:ind w:left="2469" w:hanging="715"/>
      </w:pPr>
      <w:rPr>
        <w:rFonts w:hint="default"/>
        <w:lang w:val="uk-UA" w:eastAsia="en-US" w:bidi="ar-SA"/>
      </w:rPr>
    </w:lvl>
    <w:lvl w:ilvl="3" w:tplc="16809B6E">
      <w:numFmt w:val="bullet"/>
      <w:lvlText w:val="•"/>
      <w:lvlJc w:val="left"/>
      <w:pPr>
        <w:ind w:left="3398" w:hanging="715"/>
      </w:pPr>
      <w:rPr>
        <w:rFonts w:hint="default"/>
        <w:lang w:val="uk-UA" w:eastAsia="en-US" w:bidi="ar-SA"/>
      </w:rPr>
    </w:lvl>
    <w:lvl w:ilvl="4" w:tplc="3C6E9BC8">
      <w:numFmt w:val="bullet"/>
      <w:lvlText w:val="•"/>
      <w:lvlJc w:val="left"/>
      <w:pPr>
        <w:ind w:left="4327" w:hanging="715"/>
      </w:pPr>
      <w:rPr>
        <w:rFonts w:hint="default"/>
        <w:lang w:val="uk-UA" w:eastAsia="en-US" w:bidi="ar-SA"/>
      </w:rPr>
    </w:lvl>
    <w:lvl w:ilvl="5" w:tplc="B5D2DBF8">
      <w:numFmt w:val="bullet"/>
      <w:lvlText w:val="•"/>
      <w:lvlJc w:val="left"/>
      <w:pPr>
        <w:ind w:left="5256" w:hanging="715"/>
      </w:pPr>
      <w:rPr>
        <w:rFonts w:hint="default"/>
        <w:lang w:val="uk-UA" w:eastAsia="en-US" w:bidi="ar-SA"/>
      </w:rPr>
    </w:lvl>
    <w:lvl w:ilvl="6" w:tplc="7980AF6A">
      <w:numFmt w:val="bullet"/>
      <w:lvlText w:val="•"/>
      <w:lvlJc w:val="left"/>
      <w:pPr>
        <w:ind w:left="6185" w:hanging="715"/>
      </w:pPr>
      <w:rPr>
        <w:rFonts w:hint="default"/>
        <w:lang w:val="uk-UA" w:eastAsia="en-US" w:bidi="ar-SA"/>
      </w:rPr>
    </w:lvl>
    <w:lvl w:ilvl="7" w:tplc="1FAC72F0">
      <w:numFmt w:val="bullet"/>
      <w:lvlText w:val="•"/>
      <w:lvlJc w:val="left"/>
      <w:pPr>
        <w:ind w:left="7114" w:hanging="715"/>
      </w:pPr>
      <w:rPr>
        <w:rFonts w:hint="default"/>
        <w:lang w:val="uk-UA" w:eastAsia="en-US" w:bidi="ar-SA"/>
      </w:rPr>
    </w:lvl>
    <w:lvl w:ilvl="8" w:tplc="CCB25A60">
      <w:numFmt w:val="bullet"/>
      <w:lvlText w:val="•"/>
      <w:lvlJc w:val="left"/>
      <w:pPr>
        <w:ind w:left="8043" w:hanging="715"/>
      </w:pPr>
      <w:rPr>
        <w:rFonts w:hint="default"/>
        <w:lang w:val="uk-UA" w:eastAsia="en-US" w:bidi="ar-SA"/>
      </w:rPr>
    </w:lvl>
  </w:abstractNum>
  <w:num w:numId="1" w16cid:durableId="1752193507">
    <w:abstractNumId w:val="2"/>
  </w:num>
  <w:num w:numId="2" w16cid:durableId="1506556417">
    <w:abstractNumId w:val="0"/>
  </w:num>
  <w:num w:numId="3" w16cid:durableId="172664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31"/>
    <w:rsid w:val="00413931"/>
    <w:rsid w:val="005E498C"/>
    <w:rsid w:val="0066077C"/>
    <w:rsid w:val="009A3752"/>
    <w:rsid w:val="00D1224D"/>
    <w:rsid w:val="00E36735"/>
    <w:rsid w:val="00E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AD2F"/>
  <w15:chartTrackingRefBased/>
  <w15:docId w15:val="{60100A25-55A8-476C-B8B8-B88C1825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2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413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3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9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9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9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9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9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9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931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12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">
    <w:name w:val="Основний текст Знак"/>
    <w:basedOn w:val="a0"/>
    <w:link w:val="ae"/>
    <w:uiPriority w:val="1"/>
    <w:rsid w:val="00D1224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stParagraph1">
    <w:name w:val="List Paragraph1"/>
    <w:basedOn w:val="a"/>
    <w:rsid w:val="00D1224D"/>
    <w:pPr>
      <w:spacing w:after="160" w:line="256" w:lineRule="auto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3761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Вололовцева Наталія</dc:creator>
  <cp:keywords/>
  <dc:description/>
  <cp:lastModifiedBy>Вололовцева Наталія</cp:lastModifiedBy>
  <cp:revision>3</cp:revision>
  <dcterms:created xsi:type="dcterms:W3CDTF">2026-02-13T08:28:00Z</dcterms:created>
  <dcterms:modified xsi:type="dcterms:W3CDTF">2026-02-13T08:40:00Z</dcterms:modified>
</cp:coreProperties>
</file>