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2356" w14:textId="77777777" w:rsidR="00CF590D" w:rsidRPr="004C498D" w:rsidRDefault="00CF590D" w:rsidP="004C498D">
      <w:pPr>
        <w:widowControl w:val="0"/>
        <w:suppressAutoHyphens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98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269E8936" w14:textId="77777777" w:rsidR="00CF590D" w:rsidRPr="004C498D" w:rsidRDefault="00CF590D" w:rsidP="004C498D">
      <w:pPr>
        <w:widowControl w:val="0"/>
        <w:suppressAutoHyphens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98D">
        <w:rPr>
          <w:rFonts w:ascii="Times New Roman" w:hAnsi="Times New Roman" w:cs="Times New Roman"/>
          <w:b/>
          <w:sz w:val="28"/>
          <w:szCs w:val="28"/>
        </w:rPr>
        <w:t xml:space="preserve">про роботу управління фінансового контролю департаменту </w:t>
      </w:r>
    </w:p>
    <w:p w14:paraId="2B02B6E8" w14:textId="77777777" w:rsidR="00CF590D" w:rsidRPr="004C498D" w:rsidRDefault="006D00B1" w:rsidP="004C498D">
      <w:pPr>
        <w:widowControl w:val="0"/>
        <w:suppressAutoHyphens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98D">
        <w:rPr>
          <w:rFonts w:ascii="Times New Roman" w:hAnsi="Times New Roman" w:cs="Times New Roman"/>
          <w:b/>
          <w:sz w:val="28"/>
          <w:szCs w:val="28"/>
        </w:rPr>
        <w:t>«</w:t>
      </w:r>
      <w:r w:rsidR="00CF590D" w:rsidRPr="004C498D">
        <w:rPr>
          <w:rFonts w:ascii="Times New Roman" w:hAnsi="Times New Roman" w:cs="Times New Roman"/>
          <w:b/>
          <w:sz w:val="28"/>
          <w:szCs w:val="28"/>
        </w:rPr>
        <w:t>Адміністрація міського голови</w:t>
      </w:r>
      <w:r w:rsidRPr="004C498D">
        <w:rPr>
          <w:rFonts w:ascii="Times New Roman" w:hAnsi="Times New Roman" w:cs="Times New Roman"/>
          <w:b/>
          <w:sz w:val="28"/>
          <w:szCs w:val="28"/>
        </w:rPr>
        <w:t>»</w:t>
      </w:r>
      <w:r w:rsidR="00CF590D" w:rsidRPr="004C498D">
        <w:rPr>
          <w:rFonts w:ascii="Times New Roman" w:hAnsi="Times New Roman" w:cs="Times New Roman"/>
          <w:b/>
          <w:sz w:val="28"/>
          <w:szCs w:val="28"/>
        </w:rPr>
        <w:t xml:space="preserve"> Львівської міської ради за 20</w:t>
      </w:r>
      <w:r w:rsidR="00CF64BE" w:rsidRPr="004C498D">
        <w:rPr>
          <w:rFonts w:ascii="Times New Roman" w:hAnsi="Times New Roman" w:cs="Times New Roman"/>
          <w:b/>
          <w:sz w:val="28"/>
          <w:szCs w:val="28"/>
        </w:rPr>
        <w:t>2</w:t>
      </w:r>
      <w:r w:rsidR="009F1A64">
        <w:rPr>
          <w:rFonts w:ascii="Times New Roman" w:hAnsi="Times New Roman" w:cs="Times New Roman"/>
          <w:b/>
          <w:sz w:val="28"/>
          <w:szCs w:val="28"/>
        </w:rPr>
        <w:t>5</w:t>
      </w:r>
      <w:r w:rsidR="00CF590D" w:rsidRPr="004C498D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222FB767" w14:textId="77777777" w:rsidR="00CF590D" w:rsidRPr="004C498D" w:rsidRDefault="00CF590D" w:rsidP="004C498D">
      <w:pPr>
        <w:widowControl w:val="0"/>
        <w:suppressAutoHyphens/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BAB15" w14:textId="77777777" w:rsidR="00CF590D" w:rsidRPr="004C498D" w:rsidRDefault="00CF590D" w:rsidP="009730FF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>У 20</w:t>
      </w:r>
      <w:r w:rsidR="004B34AF" w:rsidRPr="004C498D">
        <w:rPr>
          <w:rFonts w:ascii="Times New Roman" w:hAnsi="Times New Roman" w:cs="Times New Roman"/>
          <w:sz w:val="28"/>
          <w:szCs w:val="28"/>
        </w:rPr>
        <w:t>2</w:t>
      </w:r>
      <w:r w:rsidR="009F1A64">
        <w:rPr>
          <w:rFonts w:ascii="Times New Roman" w:hAnsi="Times New Roman" w:cs="Times New Roman"/>
          <w:sz w:val="28"/>
          <w:szCs w:val="28"/>
        </w:rPr>
        <w:t>5</w:t>
      </w:r>
      <w:r w:rsidRPr="004C498D">
        <w:rPr>
          <w:rFonts w:ascii="Times New Roman" w:hAnsi="Times New Roman" w:cs="Times New Roman"/>
          <w:sz w:val="28"/>
          <w:szCs w:val="28"/>
        </w:rPr>
        <w:t xml:space="preserve"> році робота управління фінансового контролю департаменту </w:t>
      </w:r>
      <w:r w:rsidR="006D00B1" w:rsidRPr="004C498D">
        <w:rPr>
          <w:rFonts w:ascii="Times New Roman" w:hAnsi="Times New Roman" w:cs="Times New Roman"/>
          <w:sz w:val="28"/>
          <w:szCs w:val="28"/>
        </w:rPr>
        <w:t>«</w:t>
      </w:r>
      <w:r w:rsidRPr="004C498D">
        <w:rPr>
          <w:rFonts w:ascii="Times New Roman" w:hAnsi="Times New Roman" w:cs="Times New Roman"/>
          <w:sz w:val="28"/>
          <w:szCs w:val="28"/>
        </w:rPr>
        <w:t>Адміністрація міського голови</w:t>
      </w:r>
      <w:r w:rsidR="006D00B1" w:rsidRPr="004C498D">
        <w:rPr>
          <w:rFonts w:ascii="Times New Roman" w:hAnsi="Times New Roman" w:cs="Times New Roman"/>
          <w:sz w:val="28"/>
          <w:szCs w:val="28"/>
        </w:rPr>
        <w:t>»</w:t>
      </w:r>
      <w:r w:rsidRPr="004C498D">
        <w:rPr>
          <w:rFonts w:ascii="Times New Roman" w:hAnsi="Times New Roman" w:cs="Times New Roman"/>
          <w:sz w:val="28"/>
          <w:szCs w:val="28"/>
        </w:rPr>
        <w:t xml:space="preserve"> спрямовувалась на здійснення функцій контролю за ефективним і законним використанням фінансових ресурсів міського бюджету та збереженням і використанням майна комунальної власності.</w:t>
      </w:r>
    </w:p>
    <w:p w14:paraId="3DFF151A" w14:textId="77777777" w:rsidR="00CF590D" w:rsidRPr="004C498D" w:rsidRDefault="00CF590D" w:rsidP="009730FF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 xml:space="preserve">Вказані функції здійснювались за наступними напрямами: </w:t>
      </w:r>
    </w:p>
    <w:p w14:paraId="7DD9636E" w14:textId="77777777" w:rsidR="007E7E0A" w:rsidRPr="004C498D" w:rsidRDefault="00CF590D" w:rsidP="009730FF">
      <w:pPr>
        <w:pStyle w:val="ab"/>
        <w:widowControl w:val="0"/>
        <w:numPr>
          <w:ilvl w:val="0"/>
          <w:numId w:val="2"/>
        </w:numPr>
        <w:tabs>
          <w:tab w:val="left" w:pos="567"/>
        </w:tabs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 xml:space="preserve">проведення перевірок фінансово-господарської діяльності виконавчих органів ради, комунальних підприємств, інших установ та організацій; </w:t>
      </w:r>
    </w:p>
    <w:p w14:paraId="17C85CC3" w14:textId="77777777" w:rsidR="007E7E0A" w:rsidRPr="004C498D" w:rsidRDefault="00CF590D" w:rsidP="009730FF">
      <w:pPr>
        <w:pStyle w:val="ab"/>
        <w:widowControl w:val="0"/>
        <w:numPr>
          <w:ilvl w:val="0"/>
          <w:numId w:val="2"/>
        </w:numPr>
        <w:tabs>
          <w:tab w:val="left" w:pos="567"/>
        </w:tabs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>перевірки та погодження кошторисної документації на ремонтно-будівельні, реставраційні та проектно-вишукувальні роботи;</w:t>
      </w:r>
    </w:p>
    <w:p w14:paraId="7C9B6A98" w14:textId="77777777" w:rsidR="007E7E0A" w:rsidRPr="004C498D" w:rsidRDefault="00CF590D" w:rsidP="009730FF">
      <w:pPr>
        <w:pStyle w:val="ab"/>
        <w:widowControl w:val="0"/>
        <w:numPr>
          <w:ilvl w:val="0"/>
          <w:numId w:val="2"/>
        </w:numPr>
        <w:tabs>
          <w:tab w:val="left" w:pos="567"/>
        </w:tabs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>перевірки обсягів та якості виконаних робіт, готовності (часткової готовності) об’єктів після підписання актів ви</w:t>
      </w:r>
      <w:r w:rsidR="007E7E0A" w:rsidRPr="004C498D">
        <w:rPr>
          <w:rFonts w:ascii="Times New Roman" w:hAnsi="Times New Roman" w:cs="Times New Roman"/>
          <w:sz w:val="28"/>
          <w:szCs w:val="28"/>
        </w:rPr>
        <w:t>конаних робіт; комісійні виїзди;</w:t>
      </w:r>
    </w:p>
    <w:p w14:paraId="71554D8A" w14:textId="77777777" w:rsidR="00CF590D" w:rsidRPr="004C498D" w:rsidRDefault="00CF590D" w:rsidP="004C498D">
      <w:pPr>
        <w:pStyle w:val="ab"/>
        <w:widowControl w:val="0"/>
        <w:numPr>
          <w:ilvl w:val="0"/>
          <w:numId w:val="2"/>
        </w:numPr>
        <w:tabs>
          <w:tab w:val="left" w:pos="567"/>
        </w:tabs>
        <w:suppressAutoHyphens/>
        <w:spacing w:before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>перевірки калькуляцій на послуги з благоустрою території міста.</w:t>
      </w:r>
    </w:p>
    <w:p w14:paraId="708C9EF1" w14:textId="77777777" w:rsidR="00CF590D" w:rsidRPr="009730FF" w:rsidRDefault="00CF590D" w:rsidP="009730FF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C498D">
        <w:rPr>
          <w:rFonts w:ascii="Times New Roman" w:hAnsi="Times New Roman" w:cs="Times New Roman"/>
          <w:sz w:val="28"/>
          <w:szCs w:val="28"/>
        </w:rPr>
        <w:t>Так, протягом 20</w:t>
      </w:r>
      <w:r w:rsidR="005066E5" w:rsidRPr="004C498D">
        <w:rPr>
          <w:rFonts w:ascii="Times New Roman" w:hAnsi="Times New Roman" w:cs="Times New Roman"/>
          <w:sz w:val="28"/>
          <w:szCs w:val="28"/>
        </w:rPr>
        <w:t>2</w:t>
      </w:r>
      <w:r w:rsidR="009F1A6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C498D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0650A" w:rsidRPr="009730FF">
        <w:rPr>
          <w:rFonts w:ascii="Times New Roman" w:hAnsi="Times New Roman" w:cs="Times New Roman"/>
          <w:sz w:val="28"/>
          <w:szCs w:val="28"/>
        </w:rPr>
        <w:t>на виконання доручень Львівського міського голови</w:t>
      </w:r>
      <w:r w:rsidR="0090650A" w:rsidRPr="004C498D">
        <w:rPr>
          <w:rFonts w:ascii="Times New Roman" w:hAnsi="Times New Roman" w:cs="Times New Roman"/>
          <w:sz w:val="28"/>
          <w:szCs w:val="28"/>
        </w:rPr>
        <w:t xml:space="preserve"> </w:t>
      </w:r>
      <w:r w:rsidR="009F1A64">
        <w:rPr>
          <w:rFonts w:ascii="Times New Roman" w:hAnsi="Times New Roman" w:cs="Times New Roman"/>
          <w:sz w:val="28"/>
          <w:szCs w:val="28"/>
        </w:rPr>
        <w:t>та плану роботи на 2025</w:t>
      </w:r>
      <w:r w:rsidR="0090650A">
        <w:rPr>
          <w:rFonts w:ascii="Times New Roman" w:hAnsi="Times New Roman" w:cs="Times New Roman"/>
          <w:sz w:val="28"/>
          <w:szCs w:val="28"/>
        </w:rPr>
        <w:t xml:space="preserve"> рік </w:t>
      </w:r>
      <w:r w:rsidRPr="004C498D">
        <w:rPr>
          <w:rFonts w:ascii="Times New Roman" w:hAnsi="Times New Roman" w:cs="Times New Roman"/>
          <w:sz w:val="28"/>
          <w:szCs w:val="28"/>
        </w:rPr>
        <w:t>управлінням</w:t>
      </w:r>
      <w:r w:rsidR="009F1A64">
        <w:rPr>
          <w:rFonts w:ascii="Times New Roman" w:hAnsi="Times New Roman" w:cs="Times New Roman"/>
          <w:sz w:val="28"/>
          <w:szCs w:val="28"/>
        </w:rPr>
        <w:t xml:space="preserve"> фінансового контролю проведено 11</w:t>
      </w:r>
      <w:r w:rsidRPr="009730FF">
        <w:rPr>
          <w:rFonts w:ascii="Times New Roman" w:hAnsi="Times New Roman" w:cs="Times New Roman"/>
          <w:sz w:val="28"/>
          <w:szCs w:val="28"/>
        </w:rPr>
        <w:t xml:space="preserve"> перевірок фінансово-господарської діяльності комунальних підприємств</w:t>
      </w:r>
      <w:r w:rsidR="003E7B73" w:rsidRPr="009730FF">
        <w:rPr>
          <w:rFonts w:ascii="Times New Roman" w:hAnsi="Times New Roman" w:cs="Times New Roman"/>
          <w:sz w:val="28"/>
          <w:szCs w:val="28"/>
        </w:rPr>
        <w:t>, інших установ та організацій</w:t>
      </w:r>
      <w:r w:rsidRPr="009730FF">
        <w:rPr>
          <w:rFonts w:ascii="Times New Roman" w:hAnsi="Times New Roman" w:cs="Times New Roman"/>
          <w:sz w:val="28"/>
          <w:szCs w:val="28"/>
        </w:rPr>
        <w:t>.</w:t>
      </w:r>
    </w:p>
    <w:p w14:paraId="5DBA6E79" w14:textId="77777777" w:rsidR="0090650A" w:rsidRPr="00117618" w:rsidRDefault="00CF590D" w:rsidP="009730FF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7618">
        <w:rPr>
          <w:rFonts w:ascii="Times New Roman" w:hAnsi="Times New Roman" w:cs="Times New Roman"/>
          <w:sz w:val="28"/>
          <w:szCs w:val="28"/>
        </w:rPr>
        <w:t>За результатами проведених перевірок виявлено порушень фінансової дисципліни на</w:t>
      </w:r>
      <w:r w:rsidR="004D5AA5" w:rsidRPr="00117618">
        <w:rPr>
          <w:rFonts w:ascii="Times New Roman" w:hAnsi="Times New Roman" w:cs="Times New Roman"/>
          <w:sz w:val="28"/>
          <w:szCs w:val="28"/>
        </w:rPr>
        <w:t xml:space="preserve"> загальну</w:t>
      </w:r>
      <w:r w:rsidRPr="00117618">
        <w:rPr>
          <w:rFonts w:ascii="Times New Roman" w:hAnsi="Times New Roman" w:cs="Times New Roman"/>
          <w:sz w:val="28"/>
          <w:szCs w:val="28"/>
        </w:rPr>
        <w:t xml:space="preserve"> суму понад </w:t>
      </w:r>
      <w:r w:rsidR="007250FF">
        <w:rPr>
          <w:rFonts w:ascii="Times New Roman" w:hAnsi="Times New Roman" w:cs="Times New Roman"/>
          <w:sz w:val="28"/>
          <w:szCs w:val="28"/>
        </w:rPr>
        <w:t>6</w:t>
      </w:r>
      <w:r w:rsidR="00DD551E">
        <w:rPr>
          <w:rFonts w:ascii="Times New Roman" w:hAnsi="Times New Roman" w:cs="Times New Roman"/>
          <w:sz w:val="28"/>
          <w:szCs w:val="28"/>
        </w:rPr>
        <w:t>2,5</w:t>
      </w:r>
      <w:r w:rsidRPr="00117618">
        <w:rPr>
          <w:rFonts w:ascii="Times New Roman" w:hAnsi="Times New Roman" w:cs="Times New Roman"/>
          <w:sz w:val="28"/>
          <w:szCs w:val="28"/>
        </w:rPr>
        <w:t xml:space="preserve"> млн</w:t>
      </w:r>
      <w:r w:rsidR="004D5AA5" w:rsidRPr="00117618">
        <w:rPr>
          <w:rFonts w:ascii="Times New Roman" w:hAnsi="Times New Roman" w:cs="Times New Roman"/>
          <w:sz w:val="28"/>
          <w:szCs w:val="28"/>
        </w:rPr>
        <w:t>.</w:t>
      </w:r>
      <w:r w:rsidR="000469E7" w:rsidRPr="00117618">
        <w:rPr>
          <w:rFonts w:ascii="Times New Roman" w:hAnsi="Times New Roman" w:cs="Times New Roman"/>
          <w:sz w:val="28"/>
          <w:szCs w:val="28"/>
        </w:rPr>
        <w:t xml:space="preserve"> грн</w:t>
      </w:r>
      <w:r w:rsidR="0090650A" w:rsidRPr="00117618">
        <w:rPr>
          <w:rFonts w:ascii="Times New Roman" w:hAnsi="Times New Roman" w:cs="Times New Roman"/>
          <w:sz w:val="28"/>
          <w:szCs w:val="28"/>
        </w:rPr>
        <w:t>, з</w:t>
      </w:r>
      <w:r w:rsidR="005076A6" w:rsidRPr="00117618">
        <w:rPr>
          <w:rFonts w:ascii="Times New Roman" w:hAnsi="Times New Roman" w:cs="Times New Roman"/>
          <w:sz w:val="28"/>
          <w:szCs w:val="28"/>
        </w:rPr>
        <w:t>окрема</w:t>
      </w:r>
      <w:r w:rsidR="0090650A" w:rsidRPr="00117618">
        <w:rPr>
          <w:rFonts w:ascii="Times New Roman" w:hAnsi="Times New Roman" w:cs="Times New Roman"/>
          <w:sz w:val="28"/>
          <w:szCs w:val="28"/>
        </w:rPr>
        <w:t>:</w:t>
      </w:r>
    </w:p>
    <w:p w14:paraId="542CF996" w14:textId="77777777" w:rsidR="00F42BA6" w:rsidRPr="0024328E" w:rsidRDefault="0090650A" w:rsidP="009730FF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7618">
        <w:rPr>
          <w:rFonts w:ascii="Times New Roman" w:hAnsi="Times New Roman" w:cs="Times New Roman"/>
          <w:sz w:val="28"/>
          <w:szCs w:val="28"/>
        </w:rPr>
        <w:t>-</w:t>
      </w:r>
      <w:r w:rsidR="00DF24A0" w:rsidRPr="00117618">
        <w:rPr>
          <w:rFonts w:ascii="Times New Roman" w:hAnsi="Times New Roman" w:cs="Times New Roman"/>
          <w:sz w:val="28"/>
          <w:szCs w:val="28"/>
        </w:rPr>
        <w:tab/>
      </w:r>
      <w:r w:rsidRPr="0024328E">
        <w:rPr>
          <w:rFonts w:ascii="Times New Roman" w:hAnsi="Times New Roman" w:cs="Times New Roman"/>
          <w:sz w:val="28"/>
          <w:szCs w:val="28"/>
        </w:rPr>
        <w:t>які</w:t>
      </w:r>
      <w:r w:rsidR="005076A6" w:rsidRPr="0024328E">
        <w:rPr>
          <w:rFonts w:ascii="Times New Roman" w:hAnsi="Times New Roman" w:cs="Times New Roman"/>
          <w:sz w:val="28"/>
          <w:szCs w:val="28"/>
        </w:rPr>
        <w:t xml:space="preserve"> призвели до зайвих витрат фінансових і матеріальних ресурсів на суму </w:t>
      </w:r>
      <w:r w:rsidR="00C16A34">
        <w:rPr>
          <w:rFonts w:ascii="Times New Roman" w:hAnsi="Times New Roman" w:cs="Times New Roman"/>
          <w:sz w:val="28"/>
          <w:szCs w:val="28"/>
        </w:rPr>
        <w:t>20,7</w:t>
      </w:r>
      <w:r w:rsidR="005076A6" w:rsidRPr="0024328E">
        <w:rPr>
          <w:rFonts w:ascii="Times New Roman" w:hAnsi="Times New Roman" w:cs="Times New Roman"/>
          <w:sz w:val="28"/>
          <w:szCs w:val="28"/>
        </w:rPr>
        <w:t xml:space="preserve"> </w:t>
      </w:r>
      <w:r w:rsidR="00F42BA6" w:rsidRPr="0024328E">
        <w:rPr>
          <w:rFonts w:ascii="Times New Roman" w:hAnsi="Times New Roman" w:cs="Times New Roman"/>
          <w:sz w:val="28"/>
          <w:szCs w:val="28"/>
        </w:rPr>
        <w:t>млн</w:t>
      </w:r>
      <w:r w:rsidR="005076A6" w:rsidRPr="0024328E">
        <w:rPr>
          <w:rFonts w:ascii="Times New Roman" w:hAnsi="Times New Roman" w:cs="Times New Roman"/>
          <w:sz w:val="28"/>
          <w:szCs w:val="28"/>
        </w:rPr>
        <w:t>. грн</w:t>
      </w:r>
      <w:r w:rsidR="00F42BA6" w:rsidRPr="0024328E">
        <w:rPr>
          <w:rFonts w:ascii="Times New Roman" w:hAnsi="Times New Roman" w:cs="Times New Roman"/>
          <w:sz w:val="28"/>
          <w:szCs w:val="28"/>
        </w:rPr>
        <w:t xml:space="preserve"> (або </w:t>
      </w:r>
      <w:r w:rsidR="007250FF">
        <w:rPr>
          <w:rFonts w:ascii="Times New Roman" w:hAnsi="Times New Roman" w:cs="Times New Roman"/>
          <w:sz w:val="28"/>
          <w:szCs w:val="28"/>
        </w:rPr>
        <w:t>3</w:t>
      </w:r>
      <w:r w:rsidR="00DD551E">
        <w:rPr>
          <w:rFonts w:ascii="Times New Roman" w:hAnsi="Times New Roman" w:cs="Times New Roman"/>
          <w:sz w:val="28"/>
          <w:szCs w:val="28"/>
        </w:rPr>
        <w:t>3,1</w:t>
      </w:r>
      <w:r w:rsidR="00F42BA6" w:rsidRPr="0024328E">
        <w:rPr>
          <w:rFonts w:ascii="Times New Roman" w:hAnsi="Times New Roman" w:cs="Times New Roman"/>
          <w:sz w:val="28"/>
          <w:szCs w:val="28"/>
        </w:rPr>
        <w:t>%);</w:t>
      </w:r>
    </w:p>
    <w:p w14:paraId="5C6FE354" w14:textId="77777777" w:rsidR="004319C8" w:rsidRPr="0024328E" w:rsidRDefault="00F42BA6" w:rsidP="004319C8">
      <w:pPr>
        <w:pStyle w:val="ab"/>
        <w:widowControl w:val="0"/>
        <w:numPr>
          <w:ilvl w:val="0"/>
          <w:numId w:val="3"/>
        </w:numPr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4328E">
        <w:rPr>
          <w:rFonts w:ascii="Times New Roman" w:hAnsi="Times New Roman" w:cs="Times New Roman"/>
          <w:sz w:val="28"/>
          <w:szCs w:val="28"/>
        </w:rPr>
        <w:t xml:space="preserve">в частині </w:t>
      </w:r>
      <w:r w:rsidR="005076A6" w:rsidRPr="0024328E">
        <w:rPr>
          <w:rFonts w:ascii="Times New Roman" w:hAnsi="Times New Roman" w:cs="Times New Roman"/>
          <w:sz w:val="28"/>
          <w:szCs w:val="28"/>
        </w:rPr>
        <w:t>недоотриман</w:t>
      </w:r>
      <w:r w:rsidR="004319C8" w:rsidRPr="0024328E">
        <w:rPr>
          <w:rFonts w:ascii="Times New Roman" w:hAnsi="Times New Roman" w:cs="Times New Roman"/>
          <w:sz w:val="28"/>
          <w:szCs w:val="28"/>
        </w:rPr>
        <w:t>их</w:t>
      </w:r>
      <w:r w:rsidR="005076A6" w:rsidRPr="0024328E">
        <w:rPr>
          <w:rFonts w:ascii="Times New Roman" w:hAnsi="Times New Roman" w:cs="Times New Roman"/>
          <w:sz w:val="28"/>
          <w:szCs w:val="28"/>
        </w:rPr>
        <w:t xml:space="preserve"> доходів на суму </w:t>
      </w:r>
      <w:r w:rsidR="00117618" w:rsidRPr="0024328E">
        <w:rPr>
          <w:rFonts w:ascii="Times New Roman" w:hAnsi="Times New Roman" w:cs="Times New Roman"/>
          <w:sz w:val="28"/>
          <w:szCs w:val="28"/>
        </w:rPr>
        <w:t>1,1</w:t>
      </w:r>
      <w:r w:rsidR="004319C8" w:rsidRPr="0024328E">
        <w:rPr>
          <w:rFonts w:ascii="Times New Roman" w:hAnsi="Times New Roman" w:cs="Times New Roman"/>
          <w:sz w:val="28"/>
          <w:szCs w:val="28"/>
        </w:rPr>
        <w:t xml:space="preserve"> млн</w:t>
      </w:r>
      <w:r w:rsidR="005076A6" w:rsidRPr="0024328E">
        <w:rPr>
          <w:rFonts w:ascii="Times New Roman" w:hAnsi="Times New Roman" w:cs="Times New Roman"/>
          <w:sz w:val="28"/>
          <w:szCs w:val="28"/>
        </w:rPr>
        <w:t>. грн</w:t>
      </w:r>
      <w:r w:rsidR="004319C8" w:rsidRPr="0024328E">
        <w:rPr>
          <w:rFonts w:ascii="Times New Roman" w:hAnsi="Times New Roman" w:cs="Times New Roman"/>
          <w:sz w:val="28"/>
          <w:szCs w:val="28"/>
        </w:rPr>
        <w:t xml:space="preserve"> (або </w:t>
      </w:r>
      <w:r w:rsidR="00117618" w:rsidRPr="0024328E">
        <w:rPr>
          <w:rFonts w:ascii="Times New Roman" w:hAnsi="Times New Roman" w:cs="Times New Roman"/>
          <w:sz w:val="28"/>
          <w:szCs w:val="28"/>
        </w:rPr>
        <w:t>1,</w:t>
      </w:r>
      <w:r w:rsidR="007250FF">
        <w:rPr>
          <w:rFonts w:ascii="Times New Roman" w:hAnsi="Times New Roman" w:cs="Times New Roman"/>
          <w:sz w:val="28"/>
          <w:szCs w:val="28"/>
        </w:rPr>
        <w:t>8</w:t>
      </w:r>
      <w:r w:rsidR="004319C8" w:rsidRPr="0024328E">
        <w:rPr>
          <w:rFonts w:ascii="Times New Roman" w:hAnsi="Times New Roman" w:cs="Times New Roman"/>
          <w:sz w:val="28"/>
          <w:szCs w:val="28"/>
        </w:rPr>
        <w:t>%)</w:t>
      </w:r>
      <w:r w:rsidR="005076A6" w:rsidRPr="0024328E">
        <w:rPr>
          <w:rFonts w:ascii="Times New Roman" w:hAnsi="Times New Roman" w:cs="Times New Roman"/>
          <w:sz w:val="28"/>
          <w:szCs w:val="28"/>
        </w:rPr>
        <w:t xml:space="preserve">, </w:t>
      </w:r>
      <w:r w:rsidR="004319C8" w:rsidRPr="0024328E">
        <w:rPr>
          <w:rFonts w:ascii="Times New Roman" w:hAnsi="Times New Roman" w:cs="Times New Roman"/>
          <w:sz w:val="28"/>
          <w:szCs w:val="28"/>
        </w:rPr>
        <w:t>а саме:</w:t>
      </w:r>
      <w:r w:rsidR="003E7B73" w:rsidRPr="0024328E">
        <w:rPr>
          <w:rFonts w:ascii="Times New Roman" w:hAnsi="Times New Roman" w:cs="Times New Roman"/>
          <w:sz w:val="28"/>
          <w:szCs w:val="28"/>
        </w:rPr>
        <w:t xml:space="preserve"> </w:t>
      </w:r>
      <w:r w:rsidR="004319C8" w:rsidRPr="0024328E">
        <w:rPr>
          <w:rFonts w:ascii="Times New Roman" w:hAnsi="Times New Roman" w:cs="Times New Roman"/>
          <w:sz w:val="28"/>
          <w:szCs w:val="28"/>
        </w:rPr>
        <w:t xml:space="preserve">недоотримання доходів комунальними підприємствами – </w:t>
      </w:r>
      <w:r w:rsidR="00117618" w:rsidRPr="0024328E">
        <w:rPr>
          <w:rFonts w:ascii="Times New Roman" w:hAnsi="Times New Roman" w:cs="Times New Roman"/>
          <w:sz w:val="28"/>
          <w:szCs w:val="28"/>
        </w:rPr>
        <w:t>1,0</w:t>
      </w:r>
      <w:r w:rsidR="004319C8" w:rsidRPr="0024328E">
        <w:rPr>
          <w:rFonts w:ascii="Times New Roman" w:hAnsi="Times New Roman" w:cs="Times New Roman"/>
          <w:sz w:val="28"/>
          <w:szCs w:val="28"/>
        </w:rPr>
        <w:t xml:space="preserve"> млн. грн та </w:t>
      </w:r>
      <w:r w:rsidR="00DF24A0" w:rsidRPr="0024328E">
        <w:rPr>
          <w:rFonts w:ascii="Times New Roman" w:hAnsi="Times New Roman" w:cs="Times New Roman"/>
          <w:sz w:val="28"/>
          <w:szCs w:val="28"/>
        </w:rPr>
        <w:t>недоотримання доходів працівниками – 0,</w:t>
      </w:r>
      <w:r w:rsidR="00117618" w:rsidRPr="0024328E">
        <w:rPr>
          <w:rFonts w:ascii="Times New Roman" w:hAnsi="Times New Roman" w:cs="Times New Roman"/>
          <w:sz w:val="28"/>
          <w:szCs w:val="28"/>
        </w:rPr>
        <w:t>1</w:t>
      </w:r>
      <w:r w:rsidR="00DF24A0" w:rsidRPr="0024328E">
        <w:rPr>
          <w:rFonts w:ascii="Times New Roman" w:hAnsi="Times New Roman" w:cs="Times New Roman"/>
          <w:sz w:val="28"/>
          <w:szCs w:val="28"/>
        </w:rPr>
        <w:t xml:space="preserve"> млн. грн</w:t>
      </w:r>
      <w:r w:rsidR="004319C8" w:rsidRPr="0024328E">
        <w:rPr>
          <w:rFonts w:ascii="Times New Roman" w:hAnsi="Times New Roman" w:cs="Times New Roman"/>
          <w:sz w:val="28"/>
          <w:szCs w:val="28"/>
        </w:rPr>
        <w:t>;</w:t>
      </w:r>
    </w:p>
    <w:p w14:paraId="4B7106AD" w14:textId="77777777" w:rsidR="00DF24A0" w:rsidRPr="00863030" w:rsidRDefault="001A6880" w:rsidP="004319C8">
      <w:pPr>
        <w:pStyle w:val="ab"/>
        <w:widowControl w:val="0"/>
        <w:numPr>
          <w:ilvl w:val="0"/>
          <w:numId w:val="3"/>
        </w:numPr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4328E">
        <w:rPr>
          <w:rFonts w:ascii="Times New Roman" w:hAnsi="Times New Roman" w:cs="Times New Roman"/>
          <w:sz w:val="28"/>
          <w:szCs w:val="28"/>
        </w:rPr>
        <w:t xml:space="preserve">в частині неефективного використання власних обігових та бюджетних </w:t>
      </w:r>
      <w:r w:rsidRPr="00863030">
        <w:rPr>
          <w:rFonts w:ascii="Times New Roman" w:hAnsi="Times New Roman" w:cs="Times New Roman"/>
          <w:sz w:val="28"/>
          <w:szCs w:val="28"/>
        </w:rPr>
        <w:t xml:space="preserve">коштів – </w:t>
      </w:r>
      <w:r w:rsidR="007250FF">
        <w:rPr>
          <w:rFonts w:ascii="Times New Roman" w:hAnsi="Times New Roman" w:cs="Times New Roman"/>
          <w:sz w:val="28"/>
          <w:szCs w:val="28"/>
        </w:rPr>
        <w:t>10,0</w:t>
      </w:r>
      <w:r w:rsidR="00210BCD" w:rsidRPr="00863030">
        <w:rPr>
          <w:rFonts w:ascii="Times New Roman" w:hAnsi="Times New Roman" w:cs="Times New Roman"/>
          <w:sz w:val="28"/>
          <w:szCs w:val="28"/>
        </w:rPr>
        <w:t xml:space="preserve"> млн. грн (або </w:t>
      </w:r>
      <w:r w:rsidR="00297032">
        <w:rPr>
          <w:rFonts w:ascii="Times New Roman" w:hAnsi="Times New Roman" w:cs="Times New Roman"/>
          <w:sz w:val="28"/>
          <w:szCs w:val="28"/>
        </w:rPr>
        <w:t>1</w:t>
      </w:r>
      <w:r w:rsidR="007250FF">
        <w:rPr>
          <w:rFonts w:ascii="Times New Roman" w:hAnsi="Times New Roman" w:cs="Times New Roman"/>
          <w:sz w:val="28"/>
          <w:szCs w:val="28"/>
        </w:rPr>
        <w:t>6,</w:t>
      </w:r>
      <w:r w:rsidR="00DD551E">
        <w:rPr>
          <w:rFonts w:ascii="Times New Roman" w:hAnsi="Times New Roman" w:cs="Times New Roman"/>
          <w:sz w:val="28"/>
          <w:szCs w:val="28"/>
        </w:rPr>
        <w:t>0</w:t>
      </w:r>
      <w:r w:rsidRPr="00863030">
        <w:rPr>
          <w:rFonts w:ascii="Times New Roman" w:hAnsi="Times New Roman" w:cs="Times New Roman"/>
          <w:sz w:val="28"/>
          <w:szCs w:val="28"/>
        </w:rPr>
        <w:t>%);</w:t>
      </w:r>
    </w:p>
    <w:p w14:paraId="4A19E9AC" w14:textId="77777777" w:rsidR="004319C8" w:rsidRDefault="001A6880" w:rsidP="001A6880">
      <w:pPr>
        <w:pStyle w:val="ab"/>
        <w:widowControl w:val="0"/>
        <w:numPr>
          <w:ilvl w:val="0"/>
          <w:numId w:val="3"/>
        </w:numPr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3030">
        <w:rPr>
          <w:rFonts w:ascii="Times New Roman" w:hAnsi="Times New Roman" w:cs="Times New Roman"/>
          <w:sz w:val="28"/>
          <w:szCs w:val="28"/>
        </w:rPr>
        <w:t xml:space="preserve">в частині </w:t>
      </w:r>
      <w:r w:rsidR="00485C84" w:rsidRPr="00863030">
        <w:rPr>
          <w:rFonts w:ascii="Times New Roman" w:hAnsi="Times New Roman" w:cs="Times New Roman"/>
          <w:sz w:val="28"/>
          <w:szCs w:val="28"/>
        </w:rPr>
        <w:t xml:space="preserve">порушення вимог законодавства при здійсненні закупівлі товарів, робіт та послуг – </w:t>
      </w:r>
      <w:r w:rsidR="00DD551E">
        <w:rPr>
          <w:rFonts w:ascii="Times New Roman" w:hAnsi="Times New Roman" w:cs="Times New Roman"/>
          <w:sz w:val="28"/>
          <w:szCs w:val="28"/>
        </w:rPr>
        <w:t>11,9</w:t>
      </w:r>
      <w:r w:rsidR="00485C84" w:rsidRPr="00863030">
        <w:rPr>
          <w:rFonts w:ascii="Times New Roman" w:hAnsi="Times New Roman" w:cs="Times New Roman"/>
          <w:sz w:val="28"/>
          <w:szCs w:val="28"/>
        </w:rPr>
        <w:t xml:space="preserve"> млн. грн (або </w:t>
      </w:r>
      <w:r w:rsidR="00DD551E">
        <w:rPr>
          <w:rFonts w:ascii="Times New Roman" w:hAnsi="Times New Roman" w:cs="Times New Roman"/>
          <w:sz w:val="28"/>
          <w:szCs w:val="28"/>
        </w:rPr>
        <w:t>19,0</w:t>
      </w:r>
      <w:r w:rsidR="00485C84" w:rsidRPr="00863030">
        <w:rPr>
          <w:rFonts w:ascii="Times New Roman" w:hAnsi="Times New Roman" w:cs="Times New Roman"/>
          <w:sz w:val="28"/>
          <w:szCs w:val="28"/>
        </w:rPr>
        <w:t>%);</w:t>
      </w:r>
    </w:p>
    <w:p w14:paraId="5F26489E" w14:textId="77777777" w:rsidR="00297032" w:rsidRPr="00863030" w:rsidRDefault="00297032" w:rsidP="001A6880">
      <w:pPr>
        <w:pStyle w:val="ab"/>
        <w:widowControl w:val="0"/>
        <w:numPr>
          <w:ilvl w:val="0"/>
          <w:numId w:val="3"/>
        </w:numPr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втрат коштів</w:t>
      </w:r>
      <w:r w:rsidR="009447CD">
        <w:rPr>
          <w:rFonts w:ascii="Times New Roman" w:hAnsi="Times New Roman" w:cs="Times New Roman"/>
          <w:sz w:val="28"/>
          <w:szCs w:val="28"/>
        </w:rPr>
        <w:t xml:space="preserve"> Львівської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громади– 8,3 млн. грн (або 1</w:t>
      </w:r>
      <w:r w:rsidR="00DD551E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>%);</w:t>
      </w:r>
    </w:p>
    <w:p w14:paraId="5ABCCD22" w14:textId="77777777" w:rsidR="00485C84" w:rsidRPr="00863030" w:rsidRDefault="00485C84" w:rsidP="001A6880">
      <w:pPr>
        <w:pStyle w:val="ab"/>
        <w:widowControl w:val="0"/>
        <w:numPr>
          <w:ilvl w:val="0"/>
          <w:numId w:val="3"/>
        </w:numPr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3030">
        <w:rPr>
          <w:rFonts w:ascii="Times New Roman" w:hAnsi="Times New Roman" w:cs="Times New Roman"/>
          <w:sz w:val="28"/>
          <w:szCs w:val="28"/>
        </w:rPr>
        <w:t>інші порушення фінансової дисципліни,</w:t>
      </w:r>
      <w:r w:rsidR="00F67DFB" w:rsidRPr="00863030">
        <w:rPr>
          <w:rFonts w:ascii="Times New Roman" w:hAnsi="Times New Roman" w:cs="Times New Roman"/>
          <w:sz w:val="28"/>
          <w:szCs w:val="28"/>
        </w:rPr>
        <w:t xml:space="preserve"> що не призвели до втрат </w:t>
      </w:r>
      <w:r w:rsidRPr="00863030">
        <w:rPr>
          <w:rFonts w:ascii="Times New Roman" w:hAnsi="Times New Roman" w:cs="Times New Roman"/>
          <w:sz w:val="28"/>
          <w:szCs w:val="28"/>
        </w:rPr>
        <w:t xml:space="preserve">– </w:t>
      </w:r>
      <w:r w:rsidR="007250FF">
        <w:rPr>
          <w:rFonts w:ascii="Times New Roman" w:hAnsi="Times New Roman" w:cs="Times New Roman"/>
          <w:sz w:val="28"/>
          <w:szCs w:val="28"/>
        </w:rPr>
        <w:t>10,5</w:t>
      </w:r>
      <w:r w:rsidR="00B4040D" w:rsidRPr="00863030">
        <w:rPr>
          <w:rFonts w:ascii="Times New Roman" w:hAnsi="Times New Roman" w:cs="Times New Roman"/>
          <w:sz w:val="28"/>
          <w:szCs w:val="28"/>
        </w:rPr>
        <w:t xml:space="preserve"> млн. грн (або </w:t>
      </w:r>
      <w:r w:rsidR="00863030" w:rsidRPr="00863030">
        <w:rPr>
          <w:rFonts w:ascii="Times New Roman" w:hAnsi="Times New Roman" w:cs="Times New Roman"/>
          <w:sz w:val="28"/>
          <w:szCs w:val="28"/>
        </w:rPr>
        <w:t>1</w:t>
      </w:r>
      <w:r w:rsidR="00DD551E">
        <w:rPr>
          <w:rFonts w:ascii="Times New Roman" w:hAnsi="Times New Roman" w:cs="Times New Roman"/>
          <w:sz w:val="28"/>
          <w:szCs w:val="28"/>
        </w:rPr>
        <w:t>6,8</w:t>
      </w:r>
      <w:r w:rsidRPr="00863030">
        <w:rPr>
          <w:rFonts w:ascii="Times New Roman" w:hAnsi="Times New Roman" w:cs="Times New Roman"/>
          <w:sz w:val="28"/>
          <w:szCs w:val="28"/>
        </w:rPr>
        <w:t>%).</w:t>
      </w:r>
    </w:p>
    <w:p w14:paraId="1816753C" w14:textId="77777777" w:rsidR="005076A6" w:rsidRPr="009730FF" w:rsidRDefault="00B9212E" w:rsidP="009730FF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виявлених порушень за 202</w:t>
      </w:r>
      <w:r w:rsidR="009F1A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відображен</w:t>
      </w:r>
      <w:r w:rsidR="008C46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Діаграмі 1.</w:t>
      </w:r>
    </w:p>
    <w:p w14:paraId="309C3725" w14:textId="77777777" w:rsidR="005076A6" w:rsidRPr="004C498D" w:rsidRDefault="005076A6" w:rsidP="004C498D">
      <w:pPr>
        <w:widowControl w:val="0"/>
        <w:suppressAutoHyphens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FC50B1" w14:textId="77777777" w:rsidR="005877E0" w:rsidRPr="004C498D" w:rsidRDefault="005877E0" w:rsidP="004C498D">
      <w:pPr>
        <w:widowControl w:val="0"/>
        <w:suppressAutoHyphens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B096BB" w14:textId="77777777" w:rsidR="00F70764" w:rsidRPr="004C498D" w:rsidRDefault="00F70764" w:rsidP="004C49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br w:type="page"/>
      </w:r>
    </w:p>
    <w:p w14:paraId="5E93444C" w14:textId="77777777" w:rsidR="00267060" w:rsidRPr="004C498D" w:rsidRDefault="00CF590D" w:rsidP="004C498D">
      <w:pPr>
        <w:widowControl w:val="0"/>
        <w:suppressAutoHyphens/>
        <w:spacing w:before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lastRenderedPageBreak/>
        <w:t>Діаграма 1</w:t>
      </w:r>
    </w:p>
    <w:p w14:paraId="52AFF292" w14:textId="77777777" w:rsidR="000D106A" w:rsidRPr="004C498D" w:rsidRDefault="008C4679" w:rsidP="004C498D">
      <w:pPr>
        <w:widowControl w:val="0"/>
        <w:tabs>
          <w:tab w:val="left" w:pos="9356"/>
        </w:tabs>
        <w:suppressAutoHyphens/>
        <w:spacing w:before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BBC7D48" wp14:editId="391F1889">
            <wp:extent cx="5619115" cy="5805805"/>
            <wp:effectExtent l="0" t="0" r="635" b="444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F9B882" w14:textId="77777777" w:rsidR="000D106A" w:rsidRPr="004C498D" w:rsidRDefault="000D106A" w:rsidP="004C498D">
      <w:pPr>
        <w:widowControl w:val="0"/>
        <w:suppressAutoHyphens/>
        <w:spacing w:before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283B88" w14:textId="77777777" w:rsidR="003C3841" w:rsidRPr="00CB158E" w:rsidRDefault="003C3841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В структурі виявлених порушень, що призвели до зайвих витрат в сумі </w:t>
      </w:r>
      <w:r w:rsidR="00036CC9">
        <w:rPr>
          <w:rFonts w:ascii="Times New Roman" w:hAnsi="Times New Roman" w:cs="Times New Roman"/>
          <w:b/>
          <w:sz w:val="28"/>
          <w:szCs w:val="28"/>
        </w:rPr>
        <w:t>20,7</w:t>
      </w:r>
      <w:r w:rsidRPr="00CB1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>млн.</w:t>
      </w:r>
      <w:r w:rsidRPr="00CB1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>грн найбільшу частку займають</w:t>
      </w:r>
      <w:r w:rsidR="009447CD" w:rsidRPr="009447CD">
        <w:rPr>
          <w:rFonts w:ascii="Times New Roman" w:hAnsi="Times New Roman" w:cs="Times New Roman"/>
          <w:sz w:val="28"/>
          <w:szCs w:val="28"/>
        </w:rPr>
        <w:t xml:space="preserve"> </w:t>
      </w:r>
      <w:r w:rsidR="009447CD" w:rsidRPr="00CB158E">
        <w:rPr>
          <w:rFonts w:ascii="Times New Roman" w:hAnsi="Times New Roman" w:cs="Times New Roman"/>
          <w:sz w:val="28"/>
          <w:szCs w:val="28"/>
        </w:rPr>
        <w:t xml:space="preserve">зайві витрати на оплату праці та нарахування єдиного соціального внеску – </w:t>
      </w:r>
      <w:r w:rsidR="009447CD">
        <w:rPr>
          <w:rFonts w:ascii="Times New Roman" w:hAnsi="Times New Roman" w:cs="Times New Roman"/>
          <w:sz w:val="28"/>
          <w:szCs w:val="28"/>
        </w:rPr>
        <w:t>16,8</w:t>
      </w:r>
      <w:r w:rsidR="009447CD" w:rsidRPr="00CB158E">
        <w:rPr>
          <w:rFonts w:ascii="Times New Roman" w:hAnsi="Times New Roman" w:cs="Times New Roman"/>
          <w:sz w:val="28"/>
          <w:szCs w:val="28"/>
        </w:rPr>
        <w:t xml:space="preserve"> млн. грн,</w:t>
      </w:r>
      <w:r w:rsidR="009447CD">
        <w:rPr>
          <w:rFonts w:ascii="Times New Roman" w:hAnsi="Times New Roman" w:cs="Times New Roman"/>
          <w:sz w:val="28"/>
          <w:szCs w:val="28"/>
        </w:rPr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 xml:space="preserve">витрати комунальних підприємств та організацій здійснені за рахунок нераціонального використання власних обігових та бюджетних коштів в сумі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47CD">
        <w:rPr>
          <w:rFonts w:ascii="Times New Roman" w:hAnsi="Times New Roman" w:cs="Times New Roman"/>
          <w:sz w:val="28"/>
          <w:szCs w:val="28"/>
        </w:rPr>
        <w:t>,9</w:t>
      </w:r>
      <w:r w:rsidRPr="00CB1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>млн.</w:t>
      </w:r>
      <w:r w:rsidRPr="00CB1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 xml:space="preserve">грн, </w:t>
      </w:r>
      <w:r w:rsidR="009447CD">
        <w:rPr>
          <w:rFonts w:ascii="Times New Roman" w:hAnsi="Times New Roman" w:cs="Times New Roman"/>
          <w:sz w:val="28"/>
          <w:szCs w:val="28"/>
        </w:rPr>
        <w:t>безпідставне списання комунального майна – 0,</w:t>
      </w:r>
      <w:r w:rsidR="00036CC9">
        <w:rPr>
          <w:rFonts w:ascii="Times New Roman" w:hAnsi="Times New Roman" w:cs="Times New Roman"/>
          <w:sz w:val="28"/>
          <w:szCs w:val="28"/>
        </w:rPr>
        <w:t>7</w:t>
      </w:r>
      <w:r w:rsidR="009447CD">
        <w:rPr>
          <w:rFonts w:ascii="Times New Roman" w:hAnsi="Times New Roman" w:cs="Times New Roman"/>
          <w:sz w:val="28"/>
          <w:szCs w:val="28"/>
        </w:rPr>
        <w:t xml:space="preserve"> млн. грн, </w:t>
      </w:r>
      <w:r w:rsidRPr="00CB158E">
        <w:rPr>
          <w:rFonts w:ascii="Times New Roman" w:hAnsi="Times New Roman" w:cs="Times New Roman"/>
          <w:sz w:val="28"/>
          <w:szCs w:val="28"/>
        </w:rPr>
        <w:t xml:space="preserve">зайві витрати на ремонтно-будівельні роботи – </w:t>
      </w:r>
      <w:r w:rsidR="009447CD">
        <w:rPr>
          <w:rFonts w:ascii="Times New Roman" w:hAnsi="Times New Roman" w:cs="Times New Roman"/>
          <w:sz w:val="28"/>
          <w:szCs w:val="28"/>
        </w:rPr>
        <w:t>0,3</w:t>
      </w:r>
      <w:r w:rsidRPr="00CB158E">
        <w:rPr>
          <w:rFonts w:ascii="Times New Roman" w:hAnsi="Times New Roman" w:cs="Times New Roman"/>
          <w:sz w:val="28"/>
          <w:szCs w:val="28"/>
        </w:rPr>
        <w:t xml:space="preserve"> млн. гривень.</w:t>
      </w:r>
    </w:p>
    <w:p w14:paraId="7F807DE2" w14:textId="77777777" w:rsidR="00125259" w:rsidRPr="007225BC" w:rsidRDefault="003C3841" w:rsidP="00125259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Так, </w:t>
      </w:r>
      <w:r w:rsidR="00125259">
        <w:rPr>
          <w:rFonts w:ascii="Times New Roman" w:hAnsi="Times New Roman" w:cs="Times New Roman"/>
          <w:sz w:val="28"/>
          <w:szCs w:val="28"/>
        </w:rPr>
        <w:t>з</w:t>
      </w:r>
      <w:r w:rsidR="00125259" w:rsidRPr="00CB158E">
        <w:rPr>
          <w:rFonts w:ascii="Times New Roman" w:hAnsi="Times New Roman" w:cs="Times New Roman"/>
          <w:sz w:val="28"/>
          <w:szCs w:val="28"/>
        </w:rPr>
        <w:t xml:space="preserve">айві витрати на оплату праці та нарахування єдиного соціального внеску в </w:t>
      </w:r>
      <w:r w:rsidR="00125259" w:rsidRPr="007225BC">
        <w:rPr>
          <w:rFonts w:ascii="Times New Roman" w:hAnsi="Times New Roman" w:cs="Times New Roman"/>
          <w:sz w:val="28"/>
          <w:szCs w:val="28"/>
        </w:rPr>
        <w:t>сумі 16,8 млн. грн виникли в тому числі й за рахунок:</w:t>
      </w:r>
    </w:p>
    <w:p w14:paraId="7F6A511E" w14:textId="77777777" w:rsidR="00125259" w:rsidRPr="007225BC" w:rsidRDefault="00125259" w:rsidP="00125259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5BC">
        <w:rPr>
          <w:rFonts w:ascii="Times New Roman" w:hAnsi="Times New Roman" w:cs="Times New Roman"/>
          <w:sz w:val="28"/>
          <w:szCs w:val="28"/>
        </w:rPr>
        <w:t xml:space="preserve">- безпідставної виплати одноразових та квартальних премій, працівникам – </w:t>
      </w:r>
      <w:r w:rsidR="005A7DE9" w:rsidRPr="007225BC">
        <w:rPr>
          <w:rFonts w:ascii="Times New Roman" w:hAnsi="Times New Roman" w:cs="Times New Roman"/>
          <w:sz w:val="28"/>
          <w:szCs w:val="28"/>
        </w:rPr>
        <w:t>4,9</w:t>
      </w:r>
      <w:r w:rsidRPr="007225BC">
        <w:rPr>
          <w:rFonts w:ascii="Times New Roman" w:hAnsi="Times New Roman" w:cs="Times New Roman"/>
          <w:sz w:val="28"/>
          <w:szCs w:val="28"/>
        </w:rPr>
        <w:t xml:space="preserve"> млн. грн; </w:t>
      </w:r>
    </w:p>
    <w:p w14:paraId="2CB6E79B" w14:textId="77777777" w:rsidR="00B229B4" w:rsidRPr="007225BC" w:rsidRDefault="00B229B4" w:rsidP="00125259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5BC">
        <w:rPr>
          <w:rFonts w:ascii="Times New Roman" w:hAnsi="Times New Roman" w:cs="Times New Roman"/>
          <w:sz w:val="28"/>
          <w:szCs w:val="28"/>
        </w:rPr>
        <w:t xml:space="preserve">- </w:t>
      </w:r>
      <w:r w:rsidR="00CF4341" w:rsidRPr="007225BC">
        <w:rPr>
          <w:rFonts w:ascii="Times New Roman" w:hAnsi="Times New Roman" w:cs="Times New Roman"/>
          <w:sz w:val="28"/>
          <w:szCs w:val="28"/>
        </w:rPr>
        <w:t xml:space="preserve">безпідставного встановлення працівникам надбавок та доплат </w:t>
      </w:r>
      <w:r w:rsidR="005A7DE9" w:rsidRPr="007225BC">
        <w:rPr>
          <w:rFonts w:ascii="Times New Roman" w:hAnsi="Times New Roman" w:cs="Times New Roman"/>
          <w:sz w:val="28"/>
          <w:szCs w:val="28"/>
        </w:rPr>
        <w:t>–</w:t>
      </w:r>
      <w:r w:rsidR="00CF4341" w:rsidRPr="007225BC">
        <w:rPr>
          <w:rFonts w:ascii="Times New Roman" w:hAnsi="Times New Roman" w:cs="Times New Roman"/>
          <w:sz w:val="28"/>
          <w:szCs w:val="28"/>
        </w:rPr>
        <w:t xml:space="preserve"> </w:t>
      </w:r>
      <w:r w:rsidR="005A7DE9" w:rsidRPr="007225BC">
        <w:rPr>
          <w:rFonts w:ascii="Times New Roman" w:hAnsi="Times New Roman" w:cs="Times New Roman"/>
          <w:sz w:val="28"/>
          <w:szCs w:val="28"/>
        </w:rPr>
        <w:t>3,</w:t>
      </w:r>
      <w:r w:rsidR="001F2AEF" w:rsidRPr="007225BC">
        <w:rPr>
          <w:rFonts w:ascii="Times New Roman" w:hAnsi="Times New Roman" w:cs="Times New Roman"/>
          <w:sz w:val="28"/>
          <w:szCs w:val="28"/>
        </w:rPr>
        <w:t>6</w:t>
      </w:r>
      <w:r w:rsidR="005A7DE9" w:rsidRPr="007225BC">
        <w:rPr>
          <w:rFonts w:ascii="Times New Roman" w:hAnsi="Times New Roman" w:cs="Times New Roman"/>
          <w:sz w:val="28"/>
          <w:szCs w:val="28"/>
        </w:rPr>
        <w:t xml:space="preserve"> млн. грн</w:t>
      </w:r>
      <w:r w:rsidR="007225BC" w:rsidRPr="007225BC">
        <w:rPr>
          <w:rFonts w:ascii="Times New Roman" w:hAnsi="Times New Roman" w:cs="Times New Roman"/>
          <w:sz w:val="28"/>
          <w:szCs w:val="28"/>
        </w:rPr>
        <w:t>;</w:t>
      </w:r>
    </w:p>
    <w:p w14:paraId="7FDFFAF3" w14:textId="77777777" w:rsidR="00125259" w:rsidRPr="007225BC" w:rsidRDefault="00125259" w:rsidP="00125259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5BC">
        <w:rPr>
          <w:rFonts w:ascii="Times New Roman" w:hAnsi="Times New Roman" w:cs="Times New Roman"/>
          <w:sz w:val="28"/>
          <w:szCs w:val="28"/>
        </w:rPr>
        <w:t xml:space="preserve">- неврахування об’єктивної потреби та недотримання рекомендованих </w:t>
      </w:r>
      <w:r w:rsidRPr="007225BC">
        <w:rPr>
          <w:rFonts w:ascii="Times New Roman" w:hAnsi="Times New Roman" w:cs="Times New Roman"/>
          <w:sz w:val="28"/>
          <w:szCs w:val="28"/>
        </w:rPr>
        <w:lastRenderedPageBreak/>
        <w:t xml:space="preserve">критеріїв при розрахунку штатної чисельності працівників – </w:t>
      </w:r>
      <w:r w:rsidR="005A7DE9" w:rsidRPr="007225BC">
        <w:rPr>
          <w:rFonts w:ascii="Times New Roman" w:hAnsi="Times New Roman" w:cs="Times New Roman"/>
          <w:sz w:val="28"/>
          <w:szCs w:val="28"/>
        </w:rPr>
        <w:t>3,</w:t>
      </w:r>
      <w:r w:rsidR="00717F8B" w:rsidRPr="007225BC">
        <w:rPr>
          <w:rFonts w:ascii="Times New Roman" w:hAnsi="Times New Roman" w:cs="Times New Roman"/>
          <w:sz w:val="28"/>
          <w:szCs w:val="28"/>
        </w:rPr>
        <w:t>5</w:t>
      </w:r>
      <w:r w:rsidRPr="007225BC">
        <w:rPr>
          <w:rFonts w:ascii="Times New Roman" w:hAnsi="Times New Roman" w:cs="Times New Roman"/>
          <w:sz w:val="28"/>
          <w:szCs w:val="28"/>
        </w:rPr>
        <w:t xml:space="preserve"> млн. грн; </w:t>
      </w:r>
    </w:p>
    <w:p w14:paraId="4EAB2DB8" w14:textId="77777777" w:rsidR="00D35CB0" w:rsidRPr="007225BC" w:rsidRDefault="00D35CB0" w:rsidP="00125259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5BC">
        <w:rPr>
          <w:rFonts w:ascii="Times New Roman" w:hAnsi="Times New Roman" w:cs="Times New Roman"/>
          <w:sz w:val="28"/>
          <w:szCs w:val="28"/>
        </w:rPr>
        <w:t>- безпідставного нарахування та виплати заробітної плати директору комунального підприємства за рахунок бюджетних коштів замість частки доходу, одержаного комунальним підприємством у результаті його господарської діяльності – 3,5 млн. грн</w:t>
      </w:r>
      <w:r w:rsidR="007225BC" w:rsidRPr="007225BC">
        <w:rPr>
          <w:rFonts w:ascii="Times New Roman" w:hAnsi="Times New Roman" w:cs="Times New Roman"/>
          <w:sz w:val="28"/>
          <w:szCs w:val="28"/>
        </w:rPr>
        <w:t>;</w:t>
      </w:r>
    </w:p>
    <w:p w14:paraId="1805C5FC" w14:textId="77777777" w:rsidR="00125259" w:rsidRPr="007225BC" w:rsidRDefault="00125259" w:rsidP="00125259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5BC">
        <w:rPr>
          <w:rFonts w:ascii="Times New Roman" w:hAnsi="Times New Roman" w:cs="Times New Roman"/>
          <w:sz w:val="28"/>
          <w:szCs w:val="28"/>
        </w:rPr>
        <w:t xml:space="preserve">- з інших причин – </w:t>
      </w:r>
      <w:r w:rsidR="00717F8B" w:rsidRPr="007225BC">
        <w:rPr>
          <w:rFonts w:ascii="Times New Roman" w:hAnsi="Times New Roman" w:cs="Times New Roman"/>
          <w:sz w:val="28"/>
          <w:szCs w:val="28"/>
        </w:rPr>
        <w:t>1,3</w:t>
      </w:r>
      <w:r w:rsidRPr="007225BC">
        <w:rPr>
          <w:rFonts w:ascii="Times New Roman" w:hAnsi="Times New Roman" w:cs="Times New Roman"/>
          <w:sz w:val="28"/>
          <w:szCs w:val="28"/>
        </w:rPr>
        <w:t xml:space="preserve"> млн. гривень.</w:t>
      </w:r>
    </w:p>
    <w:p w14:paraId="30891BBB" w14:textId="77777777" w:rsidR="003C3841" w:rsidRPr="00CB158E" w:rsidRDefault="00125259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7302F" w:rsidRPr="00CB158E">
        <w:rPr>
          <w:rFonts w:ascii="Times New Roman" w:hAnsi="Times New Roman" w:cs="Times New Roman"/>
          <w:sz w:val="28"/>
          <w:szCs w:val="28"/>
        </w:rPr>
        <w:t>айв</w:t>
      </w:r>
      <w:r w:rsidR="0087302F">
        <w:rPr>
          <w:rFonts w:ascii="Times New Roman" w:hAnsi="Times New Roman" w:cs="Times New Roman"/>
          <w:sz w:val="28"/>
          <w:szCs w:val="28"/>
        </w:rPr>
        <w:t>е використання</w:t>
      </w:r>
      <w:r w:rsidR="0087302F" w:rsidRPr="00CB158E">
        <w:rPr>
          <w:rFonts w:ascii="Times New Roman" w:hAnsi="Times New Roman" w:cs="Times New Roman"/>
          <w:sz w:val="28"/>
          <w:szCs w:val="28"/>
        </w:rPr>
        <w:t xml:space="preserve"> комунальними підприємствами та організаціями </w:t>
      </w:r>
      <w:r w:rsidR="003C3841" w:rsidRPr="00CB158E">
        <w:rPr>
          <w:rFonts w:ascii="Times New Roman" w:hAnsi="Times New Roman" w:cs="Times New Roman"/>
          <w:sz w:val="28"/>
          <w:szCs w:val="28"/>
        </w:rPr>
        <w:t>власн</w:t>
      </w:r>
      <w:r w:rsidR="0087302F">
        <w:rPr>
          <w:rFonts w:ascii="Times New Roman" w:hAnsi="Times New Roman" w:cs="Times New Roman"/>
          <w:sz w:val="28"/>
          <w:szCs w:val="28"/>
        </w:rPr>
        <w:t>их</w:t>
      </w:r>
      <w:r w:rsidR="003C3841" w:rsidRPr="00CB158E">
        <w:rPr>
          <w:rFonts w:ascii="Times New Roman" w:hAnsi="Times New Roman" w:cs="Times New Roman"/>
          <w:sz w:val="28"/>
          <w:szCs w:val="28"/>
        </w:rPr>
        <w:t xml:space="preserve"> обігов</w:t>
      </w:r>
      <w:r w:rsidR="0087302F">
        <w:rPr>
          <w:rFonts w:ascii="Times New Roman" w:hAnsi="Times New Roman" w:cs="Times New Roman"/>
          <w:sz w:val="28"/>
          <w:szCs w:val="28"/>
        </w:rPr>
        <w:t>их</w:t>
      </w:r>
      <w:r w:rsidR="003C3841" w:rsidRPr="00CB158E">
        <w:rPr>
          <w:rFonts w:ascii="Times New Roman" w:hAnsi="Times New Roman" w:cs="Times New Roman"/>
          <w:sz w:val="28"/>
          <w:szCs w:val="28"/>
        </w:rPr>
        <w:t xml:space="preserve"> та бюджетн</w:t>
      </w:r>
      <w:r w:rsidR="0087302F">
        <w:rPr>
          <w:rFonts w:ascii="Times New Roman" w:hAnsi="Times New Roman" w:cs="Times New Roman"/>
          <w:sz w:val="28"/>
          <w:szCs w:val="28"/>
        </w:rPr>
        <w:t xml:space="preserve">их коштів </w:t>
      </w:r>
      <w:r w:rsidR="009C29BF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392746">
        <w:rPr>
          <w:rFonts w:ascii="Times New Roman" w:hAnsi="Times New Roman" w:cs="Times New Roman"/>
          <w:b/>
          <w:sz w:val="28"/>
          <w:szCs w:val="28"/>
        </w:rPr>
        <w:t>2,9</w:t>
      </w:r>
      <w:r w:rsidR="009C29BF" w:rsidRPr="009C29BF">
        <w:rPr>
          <w:rFonts w:ascii="Times New Roman" w:hAnsi="Times New Roman" w:cs="Times New Roman"/>
          <w:sz w:val="28"/>
          <w:szCs w:val="28"/>
        </w:rPr>
        <w:t xml:space="preserve"> млн. грн</w:t>
      </w:r>
      <w:r w:rsidR="009C29BF">
        <w:rPr>
          <w:rFonts w:ascii="Times New Roman" w:hAnsi="Times New Roman" w:cs="Times New Roman"/>
          <w:sz w:val="28"/>
          <w:szCs w:val="28"/>
        </w:rPr>
        <w:t xml:space="preserve"> </w:t>
      </w:r>
      <w:r w:rsidR="0087302F">
        <w:rPr>
          <w:rFonts w:ascii="Times New Roman" w:hAnsi="Times New Roman" w:cs="Times New Roman"/>
          <w:sz w:val="28"/>
          <w:szCs w:val="28"/>
        </w:rPr>
        <w:t>допущено у зв’язку з наступним</w:t>
      </w:r>
      <w:r w:rsidR="003C3841" w:rsidRPr="00CB158E">
        <w:rPr>
          <w:rFonts w:ascii="Times New Roman" w:hAnsi="Times New Roman" w:cs="Times New Roman"/>
          <w:sz w:val="28"/>
          <w:szCs w:val="28"/>
        </w:rPr>
        <w:t>:</w:t>
      </w:r>
    </w:p>
    <w:p w14:paraId="16F99DD7" w14:textId="77777777" w:rsidR="007225BC" w:rsidRDefault="003C3841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- </w:t>
      </w:r>
      <w:r w:rsidR="00C6689E">
        <w:rPr>
          <w:rFonts w:ascii="Times New Roman" w:hAnsi="Times New Roman" w:cs="Times New Roman"/>
          <w:sz w:val="28"/>
          <w:szCs w:val="28"/>
        </w:rPr>
        <w:t>п</w:t>
      </w:r>
      <w:r w:rsidR="00C6689E" w:rsidRPr="00C6689E">
        <w:rPr>
          <w:rFonts w:ascii="Times New Roman" w:hAnsi="Times New Roman" w:cs="Times New Roman"/>
          <w:sz w:val="28"/>
          <w:szCs w:val="28"/>
        </w:rPr>
        <w:t>окриття комунальних витрат сторонніх організацій за рахунок бюджетних коштів</w:t>
      </w:r>
      <w:r w:rsidR="0087302F">
        <w:rPr>
          <w:rFonts w:ascii="Times New Roman" w:hAnsi="Times New Roman" w:cs="Times New Roman"/>
          <w:sz w:val="28"/>
          <w:szCs w:val="28"/>
        </w:rPr>
        <w:t xml:space="preserve"> – </w:t>
      </w:r>
      <w:r w:rsidR="002D3D9E">
        <w:rPr>
          <w:rFonts w:ascii="Times New Roman" w:hAnsi="Times New Roman" w:cs="Times New Roman"/>
          <w:sz w:val="28"/>
          <w:szCs w:val="28"/>
        </w:rPr>
        <w:t>2,86</w:t>
      </w:r>
      <w:r w:rsidR="0087302F">
        <w:rPr>
          <w:rFonts w:ascii="Times New Roman" w:hAnsi="Times New Roman" w:cs="Times New Roman"/>
          <w:sz w:val="28"/>
          <w:szCs w:val="28"/>
        </w:rPr>
        <w:t xml:space="preserve"> млн. грн;</w:t>
      </w:r>
      <w:r w:rsidR="00304854" w:rsidRPr="00304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12910D5" w14:textId="77777777" w:rsidR="003C3841" w:rsidRPr="00CB158E" w:rsidRDefault="001904D0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A79" w:rsidRPr="00E20A79">
        <w:rPr>
          <w:rFonts w:ascii="Times New Roman" w:hAnsi="Times New Roman" w:cs="Times New Roman"/>
          <w:sz w:val="28"/>
          <w:szCs w:val="28"/>
        </w:rPr>
        <w:t>придбан</w:t>
      </w:r>
      <w:r w:rsidR="00E20A79">
        <w:rPr>
          <w:rFonts w:ascii="Times New Roman" w:hAnsi="Times New Roman" w:cs="Times New Roman"/>
          <w:sz w:val="28"/>
          <w:szCs w:val="28"/>
        </w:rPr>
        <w:t>ня</w:t>
      </w:r>
      <w:r w:rsidR="00E20A79" w:rsidRPr="00E20A79">
        <w:rPr>
          <w:rFonts w:ascii="Times New Roman" w:hAnsi="Times New Roman" w:cs="Times New Roman"/>
          <w:sz w:val="28"/>
          <w:szCs w:val="28"/>
        </w:rPr>
        <w:t xml:space="preserve"> матеріальних цінностей, які тривалий час не використовувалися та втратили споживчі властивості</w:t>
      </w:r>
      <w:r w:rsidRPr="00190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D3D9E">
        <w:rPr>
          <w:rFonts w:ascii="Times New Roman" w:hAnsi="Times New Roman" w:cs="Times New Roman"/>
          <w:sz w:val="28"/>
          <w:szCs w:val="28"/>
        </w:rPr>
        <w:t>0,04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Pr="001904D0">
        <w:rPr>
          <w:rFonts w:ascii="Times New Roman" w:hAnsi="Times New Roman" w:cs="Times New Roman"/>
          <w:sz w:val="28"/>
          <w:szCs w:val="28"/>
        </w:rPr>
        <w:t>. грн</w:t>
      </w:r>
      <w:r w:rsidR="003C3841" w:rsidRPr="00CB158E">
        <w:rPr>
          <w:rFonts w:ascii="Times New Roman" w:hAnsi="Times New Roman" w:cs="Times New Roman"/>
          <w:sz w:val="28"/>
          <w:szCs w:val="28"/>
        </w:rPr>
        <w:t>.</w:t>
      </w:r>
    </w:p>
    <w:p w14:paraId="1F77790C" w14:textId="77777777" w:rsidR="009D60FE" w:rsidRPr="007225BC" w:rsidRDefault="009D60FE" w:rsidP="009D60FE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A5234">
        <w:rPr>
          <w:rFonts w:ascii="Times New Roman" w:hAnsi="Times New Roman" w:cs="Times New Roman"/>
          <w:sz w:val="28"/>
          <w:szCs w:val="28"/>
        </w:rPr>
        <w:t xml:space="preserve">езпідставне списання комунального майна – </w:t>
      </w:r>
      <w:r w:rsidR="00EA5234" w:rsidRPr="00006376">
        <w:rPr>
          <w:rFonts w:ascii="Times New Roman" w:hAnsi="Times New Roman" w:cs="Times New Roman"/>
          <w:b/>
          <w:sz w:val="28"/>
          <w:szCs w:val="28"/>
        </w:rPr>
        <w:t>0,</w:t>
      </w:r>
      <w:r w:rsidR="00036CC9">
        <w:rPr>
          <w:rFonts w:ascii="Times New Roman" w:hAnsi="Times New Roman" w:cs="Times New Roman"/>
          <w:b/>
          <w:sz w:val="28"/>
          <w:szCs w:val="28"/>
        </w:rPr>
        <w:t>7</w:t>
      </w:r>
      <w:r w:rsidR="00EA5234">
        <w:rPr>
          <w:rFonts w:ascii="Times New Roman" w:hAnsi="Times New Roman" w:cs="Times New Roman"/>
          <w:sz w:val="28"/>
          <w:szCs w:val="28"/>
        </w:rPr>
        <w:t xml:space="preserve"> млн. грн</w:t>
      </w:r>
      <w:r w:rsidRPr="009D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пояснюється списанням будівельних матеріалів без складання </w:t>
      </w:r>
      <w:r w:rsidRPr="009D60FE">
        <w:rPr>
          <w:rFonts w:ascii="Times New Roman" w:hAnsi="Times New Roman" w:cs="Times New Roman"/>
          <w:sz w:val="28"/>
          <w:szCs w:val="28"/>
        </w:rPr>
        <w:t xml:space="preserve">належних актів обстеження, в яких зазначається </w:t>
      </w:r>
      <w:r w:rsidRPr="007225BC">
        <w:rPr>
          <w:rFonts w:ascii="Times New Roman" w:hAnsi="Times New Roman" w:cs="Times New Roman"/>
          <w:sz w:val="28"/>
          <w:szCs w:val="28"/>
        </w:rPr>
        <w:t>необхідна кількість товаро-матеріальних цінностей та обсяги виконаних робіт.</w:t>
      </w:r>
      <w:r w:rsidR="00D03948" w:rsidRPr="00722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B87A5" w14:textId="77777777" w:rsidR="00EA6F93" w:rsidRPr="00A967B2" w:rsidRDefault="00EA6F93" w:rsidP="00EA6F93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25BC">
        <w:rPr>
          <w:rFonts w:ascii="Times New Roman" w:hAnsi="Times New Roman" w:cs="Times New Roman"/>
          <w:sz w:val="28"/>
          <w:szCs w:val="28"/>
        </w:rPr>
        <w:t xml:space="preserve">Зайві витрати на ремонтно-будівельні роботи на суму </w:t>
      </w:r>
      <w:r w:rsidRPr="007225BC">
        <w:rPr>
          <w:rFonts w:ascii="Times New Roman" w:hAnsi="Times New Roman" w:cs="Times New Roman"/>
          <w:b/>
          <w:sz w:val="28"/>
          <w:szCs w:val="28"/>
        </w:rPr>
        <w:t>0,</w:t>
      </w:r>
      <w:r w:rsidR="00006376" w:rsidRPr="007225BC">
        <w:rPr>
          <w:rFonts w:ascii="Times New Roman" w:hAnsi="Times New Roman" w:cs="Times New Roman"/>
          <w:b/>
          <w:sz w:val="28"/>
          <w:szCs w:val="28"/>
        </w:rPr>
        <w:t>3</w:t>
      </w:r>
      <w:r w:rsidRPr="007225BC">
        <w:rPr>
          <w:rFonts w:ascii="Times New Roman" w:hAnsi="Times New Roman" w:cs="Times New Roman"/>
          <w:sz w:val="28"/>
          <w:szCs w:val="28"/>
        </w:rPr>
        <w:t xml:space="preserve"> млн. грн</w:t>
      </w:r>
      <w:r w:rsidR="0086383D" w:rsidRPr="007225BC">
        <w:rPr>
          <w:rFonts w:ascii="Times New Roman" w:hAnsi="Times New Roman" w:cs="Times New Roman"/>
          <w:sz w:val="28"/>
          <w:szCs w:val="28"/>
        </w:rPr>
        <w:t xml:space="preserve"> допущено у зв’язку з безпідставним </w:t>
      </w:r>
      <w:r w:rsidR="0086383D" w:rsidRPr="00A967B2">
        <w:rPr>
          <w:rFonts w:ascii="Times New Roman" w:hAnsi="Times New Roman" w:cs="Times New Roman"/>
          <w:sz w:val="28"/>
          <w:szCs w:val="28"/>
        </w:rPr>
        <w:t>включенням підрядником в акт приймання виконаних робіт завищених даних вартості та обсягу матеріалів</w:t>
      </w:r>
      <w:r w:rsidR="00926B5B" w:rsidRPr="00A967B2">
        <w:rPr>
          <w:rFonts w:ascii="Times New Roman" w:hAnsi="Times New Roman" w:cs="Times New Roman"/>
          <w:sz w:val="28"/>
          <w:szCs w:val="28"/>
        </w:rPr>
        <w:t xml:space="preserve">; </w:t>
      </w:r>
      <w:r w:rsidR="00EE5A2F" w:rsidRPr="00A967B2">
        <w:rPr>
          <w:rFonts w:ascii="Times New Roman" w:hAnsi="Times New Roman" w:cs="Times New Roman"/>
          <w:sz w:val="28"/>
          <w:szCs w:val="28"/>
        </w:rPr>
        <w:t>завищенням вартості</w:t>
      </w:r>
      <w:r w:rsidR="00926B5B" w:rsidRPr="00A967B2">
        <w:rPr>
          <w:rFonts w:ascii="Times New Roman" w:hAnsi="Times New Roman" w:cs="Times New Roman"/>
          <w:sz w:val="28"/>
          <w:szCs w:val="28"/>
        </w:rPr>
        <w:t xml:space="preserve"> проектно-кошторисно</w:t>
      </w:r>
      <w:r w:rsidR="00EE5A2F" w:rsidRPr="00A967B2">
        <w:rPr>
          <w:rFonts w:ascii="Times New Roman" w:hAnsi="Times New Roman" w:cs="Times New Roman"/>
          <w:sz w:val="28"/>
          <w:szCs w:val="28"/>
        </w:rPr>
        <w:t>ї</w:t>
      </w:r>
      <w:r w:rsidR="00926B5B" w:rsidRPr="00A967B2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EE5A2F" w:rsidRPr="00A967B2">
        <w:rPr>
          <w:rFonts w:ascii="Times New Roman" w:hAnsi="Times New Roman" w:cs="Times New Roman"/>
          <w:sz w:val="28"/>
          <w:szCs w:val="28"/>
        </w:rPr>
        <w:t>ї</w:t>
      </w:r>
      <w:r w:rsidR="00926B5B" w:rsidRPr="00A967B2">
        <w:rPr>
          <w:rFonts w:ascii="Times New Roman" w:hAnsi="Times New Roman" w:cs="Times New Roman"/>
          <w:sz w:val="28"/>
          <w:szCs w:val="28"/>
        </w:rPr>
        <w:t xml:space="preserve">; </w:t>
      </w:r>
      <w:r w:rsidR="00A967B2" w:rsidRPr="00A967B2">
        <w:rPr>
          <w:rFonts w:ascii="Times New Roman" w:hAnsi="Times New Roman" w:cs="Times New Roman"/>
          <w:sz w:val="28"/>
          <w:szCs w:val="28"/>
        </w:rPr>
        <w:t>неповністю виконаними роботами</w:t>
      </w:r>
      <w:r w:rsidR="00926B5B" w:rsidRPr="00A967B2">
        <w:rPr>
          <w:rFonts w:ascii="Times New Roman" w:hAnsi="Times New Roman" w:cs="Times New Roman"/>
          <w:sz w:val="28"/>
          <w:szCs w:val="28"/>
        </w:rPr>
        <w:t>.</w:t>
      </w:r>
    </w:p>
    <w:p w14:paraId="493F9274" w14:textId="77777777" w:rsidR="00A754C6" w:rsidRDefault="00A754C6" w:rsidP="005C7407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E255A4" w14:textId="77777777" w:rsidR="00A754C6" w:rsidRPr="00A754C6" w:rsidRDefault="003C3841" w:rsidP="00A754C6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У структурі порушень щодо недоотримання доходів в сумі </w:t>
      </w:r>
      <w:r w:rsidR="00A754C6">
        <w:rPr>
          <w:rFonts w:ascii="Times New Roman" w:hAnsi="Times New Roman" w:cs="Times New Roman"/>
          <w:b/>
          <w:sz w:val="28"/>
          <w:szCs w:val="28"/>
        </w:rPr>
        <w:t>1,1</w:t>
      </w:r>
      <w:r w:rsidR="00B17792">
        <w:rPr>
          <w:rFonts w:ascii="Times New Roman" w:hAnsi="Times New Roman" w:cs="Times New Roman"/>
          <w:sz w:val="28"/>
          <w:szCs w:val="28"/>
        </w:rPr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>млн. грн найбільшу частку займають порушення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13A7">
        <w:rPr>
          <w:rFonts w:ascii="Times New Roman" w:hAnsi="Times New Roman" w:cs="Times New Roman"/>
          <w:sz w:val="28"/>
          <w:szCs w:val="28"/>
        </w:rPr>
        <w:t>які спричинені</w:t>
      </w:r>
      <w:r w:rsidR="001613A7" w:rsidRPr="001613A7">
        <w:rPr>
          <w:rFonts w:ascii="Times New Roman" w:hAnsi="Times New Roman" w:cs="Times New Roman"/>
          <w:sz w:val="28"/>
          <w:szCs w:val="28"/>
        </w:rPr>
        <w:t xml:space="preserve"> </w:t>
      </w:r>
      <w:r w:rsidR="00A754C6">
        <w:rPr>
          <w:rFonts w:ascii="Times New Roman" w:hAnsi="Times New Roman" w:cs="Times New Roman"/>
          <w:sz w:val="28"/>
          <w:szCs w:val="28"/>
        </w:rPr>
        <w:t xml:space="preserve">неправильним розрахунком вартості платних послуг, </w:t>
      </w:r>
      <w:r w:rsidR="00A754C6" w:rsidRPr="00A754C6">
        <w:rPr>
          <w:rFonts w:ascii="Times New Roman" w:hAnsi="Times New Roman" w:cs="Times New Roman"/>
          <w:sz w:val="28"/>
          <w:szCs w:val="28"/>
        </w:rPr>
        <w:t xml:space="preserve">до прикладу, внаслідок не включення до розрахунку вартості послуг сум ПДВ, комунальним підприємством </w:t>
      </w:r>
      <w:proofErr w:type="spellStart"/>
      <w:r w:rsidR="00A754C6" w:rsidRPr="00A754C6">
        <w:rPr>
          <w:rFonts w:ascii="Times New Roman" w:hAnsi="Times New Roman" w:cs="Times New Roman"/>
          <w:sz w:val="28"/>
          <w:szCs w:val="28"/>
        </w:rPr>
        <w:t>занижено</w:t>
      </w:r>
      <w:proofErr w:type="spellEnd"/>
      <w:r w:rsidR="00A754C6" w:rsidRPr="00A754C6">
        <w:rPr>
          <w:rFonts w:ascii="Times New Roman" w:hAnsi="Times New Roman" w:cs="Times New Roman"/>
          <w:sz w:val="28"/>
          <w:szCs w:val="28"/>
        </w:rPr>
        <w:t xml:space="preserve"> вартість послуг та недоотримано доходів розрахунково на загальну суму 0,8 млн. гривень.</w:t>
      </w:r>
      <w:r w:rsidR="00FB51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C44D3" w14:textId="77777777" w:rsidR="00970688" w:rsidRPr="000C7F58" w:rsidRDefault="003C3841" w:rsidP="00970688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Також недоотримання доходів </w:t>
      </w:r>
      <w:r w:rsidR="00970688" w:rsidRPr="00CB158E">
        <w:rPr>
          <w:rFonts w:ascii="Times New Roman" w:hAnsi="Times New Roman" w:cs="Times New Roman"/>
          <w:sz w:val="28"/>
          <w:szCs w:val="28"/>
        </w:rPr>
        <w:t>комунальн</w:t>
      </w:r>
      <w:r w:rsidR="00970688">
        <w:rPr>
          <w:rFonts w:ascii="Times New Roman" w:hAnsi="Times New Roman" w:cs="Times New Roman"/>
          <w:sz w:val="28"/>
          <w:szCs w:val="28"/>
        </w:rPr>
        <w:t xml:space="preserve">ими </w:t>
      </w:r>
      <w:r w:rsidR="00970688" w:rsidRPr="00CB158E">
        <w:rPr>
          <w:rFonts w:ascii="Times New Roman" w:hAnsi="Times New Roman" w:cs="Times New Roman"/>
          <w:sz w:val="28"/>
          <w:szCs w:val="28"/>
        </w:rPr>
        <w:t>підприємства</w:t>
      </w:r>
      <w:r w:rsidR="00970688">
        <w:rPr>
          <w:rFonts w:ascii="Times New Roman" w:hAnsi="Times New Roman" w:cs="Times New Roman"/>
          <w:sz w:val="28"/>
          <w:szCs w:val="28"/>
        </w:rPr>
        <w:t>ми</w:t>
      </w:r>
      <w:r w:rsidR="00970688" w:rsidRPr="00CB158E">
        <w:rPr>
          <w:rFonts w:ascii="Times New Roman" w:hAnsi="Times New Roman" w:cs="Times New Roman"/>
          <w:sz w:val="28"/>
          <w:szCs w:val="28"/>
        </w:rPr>
        <w:t xml:space="preserve"> </w:t>
      </w:r>
      <w:r w:rsidR="00970688" w:rsidRPr="00970688"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970688">
        <w:rPr>
          <w:rFonts w:ascii="Times New Roman" w:hAnsi="Times New Roman" w:cs="Times New Roman"/>
          <w:sz w:val="28"/>
          <w:szCs w:val="28"/>
        </w:rPr>
        <w:t>0,</w:t>
      </w:r>
      <w:r w:rsidR="00FB51E8">
        <w:rPr>
          <w:rFonts w:ascii="Times New Roman" w:hAnsi="Times New Roman" w:cs="Times New Roman"/>
          <w:sz w:val="28"/>
          <w:szCs w:val="28"/>
        </w:rPr>
        <w:t>1</w:t>
      </w:r>
      <w:r w:rsidR="00970688" w:rsidRPr="00970688">
        <w:rPr>
          <w:rFonts w:ascii="Times New Roman" w:hAnsi="Times New Roman" w:cs="Times New Roman"/>
          <w:sz w:val="28"/>
          <w:szCs w:val="28"/>
        </w:rPr>
        <w:t xml:space="preserve"> </w:t>
      </w:r>
      <w:r w:rsidR="00970688">
        <w:rPr>
          <w:rFonts w:ascii="Times New Roman" w:hAnsi="Times New Roman" w:cs="Times New Roman"/>
          <w:sz w:val="28"/>
          <w:szCs w:val="28"/>
        </w:rPr>
        <w:t>млн</w:t>
      </w:r>
      <w:r w:rsidR="00970688" w:rsidRPr="00970688">
        <w:rPr>
          <w:rFonts w:ascii="Times New Roman" w:hAnsi="Times New Roman" w:cs="Times New Roman"/>
          <w:sz w:val="28"/>
          <w:szCs w:val="28"/>
        </w:rPr>
        <w:t xml:space="preserve">. грн </w:t>
      </w:r>
      <w:r w:rsidRPr="00CB158E">
        <w:rPr>
          <w:rFonts w:ascii="Times New Roman" w:hAnsi="Times New Roman" w:cs="Times New Roman"/>
          <w:sz w:val="28"/>
          <w:szCs w:val="28"/>
        </w:rPr>
        <w:t xml:space="preserve">спричинено </w:t>
      </w:r>
      <w:r w:rsidR="00FB51E8">
        <w:rPr>
          <w:rFonts w:ascii="Times New Roman" w:hAnsi="Times New Roman" w:cs="Times New Roman"/>
          <w:sz w:val="28"/>
          <w:szCs w:val="28"/>
        </w:rPr>
        <w:t>неправильним</w:t>
      </w:r>
      <w:r w:rsidR="00970688">
        <w:rPr>
          <w:rFonts w:ascii="Times New Roman" w:hAnsi="Times New Roman" w:cs="Times New Roman"/>
          <w:sz w:val="28"/>
          <w:szCs w:val="28"/>
        </w:rPr>
        <w:t xml:space="preserve"> нарахуванням </w:t>
      </w:r>
      <w:r w:rsidR="00970688" w:rsidRPr="00970688">
        <w:rPr>
          <w:rFonts w:ascii="Times New Roman" w:hAnsi="Times New Roman" w:cs="Times New Roman"/>
          <w:sz w:val="28"/>
          <w:szCs w:val="28"/>
        </w:rPr>
        <w:t>орендної плати за користування нежитловим</w:t>
      </w:r>
      <w:r w:rsidR="00970688">
        <w:rPr>
          <w:rFonts w:ascii="Times New Roman" w:hAnsi="Times New Roman" w:cs="Times New Roman"/>
          <w:sz w:val="28"/>
          <w:szCs w:val="28"/>
        </w:rPr>
        <w:t>и</w:t>
      </w:r>
      <w:r w:rsidR="00970688" w:rsidRPr="00970688">
        <w:rPr>
          <w:rFonts w:ascii="Times New Roman" w:hAnsi="Times New Roman" w:cs="Times New Roman"/>
          <w:sz w:val="28"/>
          <w:szCs w:val="28"/>
        </w:rPr>
        <w:t xml:space="preserve"> приміщенням</w:t>
      </w:r>
      <w:r w:rsidR="00970688">
        <w:rPr>
          <w:rFonts w:ascii="Times New Roman" w:hAnsi="Times New Roman" w:cs="Times New Roman"/>
          <w:sz w:val="28"/>
          <w:szCs w:val="28"/>
        </w:rPr>
        <w:t>и</w:t>
      </w:r>
      <w:r w:rsidR="00970688" w:rsidRPr="00970688">
        <w:rPr>
          <w:rFonts w:ascii="Times New Roman" w:hAnsi="Times New Roman" w:cs="Times New Roman"/>
          <w:sz w:val="28"/>
          <w:szCs w:val="28"/>
        </w:rPr>
        <w:t>.</w:t>
      </w:r>
    </w:p>
    <w:p w14:paraId="0FE9411A" w14:textId="77777777" w:rsidR="00FB51E8" w:rsidRPr="000C7F58" w:rsidRDefault="00FB51E8" w:rsidP="003C3841">
      <w:pPr>
        <w:widowControl w:val="0"/>
        <w:spacing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0C7F58">
        <w:rPr>
          <w:rFonts w:ascii="Times New Roman" w:hAnsi="Times New Roman" w:cs="Times New Roman"/>
          <w:sz w:val="28"/>
          <w:szCs w:val="28"/>
        </w:rPr>
        <w:t xml:space="preserve">Недоотримання позашкільними навчальними закладами коштів для зміцнення матеріально-технічної бази на загальну суму 0,1 млн. гривень. </w:t>
      </w:r>
    </w:p>
    <w:p w14:paraId="02732BE2" w14:textId="77777777" w:rsidR="003C3841" w:rsidRPr="000C7F58" w:rsidRDefault="00F73F2E" w:rsidP="003C3841">
      <w:pPr>
        <w:widowControl w:val="0"/>
        <w:spacing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0C7F58">
        <w:rPr>
          <w:rFonts w:ascii="Times New Roman" w:hAnsi="Times New Roman" w:cs="Times New Roman"/>
          <w:sz w:val="28"/>
          <w:szCs w:val="28"/>
        </w:rPr>
        <w:t>Крім цього, внаслідок недотримання вимог нормативних документів при нарахуванні та виплаті заробітної плати працівниками недоотримано заробітної плати на суму 0,</w:t>
      </w:r>
      <w:r w:rsidR="00A754C6" w:rsidRPr="000C7F58">
        <w:rPr>
          <w:rFonts w:ascii="Times New Roman" w:hAnsi="Times New Roman" w:cs="Times New Roman"/>
          <w:sz w:val="28"/>
          <w:szCs w:val="28"/>
        </w:rPr>
        <w:t>1</w:t>
      </w:r>
      <w:r w:rsidRPr="000C7F58">
        <w:rPr>
          <w:rFonts w:ascii="Times New Roman" w:hAnsi="Times New Roman" w:cs="Times New Roman"/>
          <w:sz w:val="28"/>
          <w:szCs w:val="28"/>
        </w:rPr>
        <w:t xml:space="preserve"> млн. гривень.</w:t>
      </w:r>
    </w:p>
    <w:p w14:paraId="176741BD" w14:textId="77777777" w:rsidR="00FB51E8" w:rsidRDefault="00FB51E8" w:rsidP="00B5723E">
      <w:pPr>
        <w:widowControl w:val="0"/>
        <w:spacing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</w:p>
    <w:p w14:paraId="6F51B1D2" w14:textId="77777777" w:rsidR="00D32D26" w:rsidRDefault="003C3841" w:rsidP="00B5723E">
      <w:pPr>
        <w:widowControl w:val="0"/>
        <w:spacing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В структурі порушень щодо прийняття неефективних управлінських рішень на загальну суму </w:t>
      </w:r>
      <w:r w:rsidR="009E626F" w:rsidRPr="009E626F">
        <w:rPr>
          <w:rFonts w:ascii="Times New Roman" w:hAnsi="Times New Roman" w:cs="Times New Roman"/>
          <w:b/>
          <w:sz w:val="28"/>
          <w:szCs w:val="28"/>
        </w:rPr>
        <w:t>10,0</w:t>
      </w:r>
      <w:r w:rsidRPr="00CB158E">
        <w:rPr>
          <w:rFonts w:ascii="Times New Roman" w:hAnsi="Times New Roman" w:cs="Times New Roman"/>
          <w:sz w:val="28"/>
          <w:szCs w:val="28"/>
        </w:rPr>
        <w:t xml:space="preserve"> млн. грн найбільшим є порушення в сумі </w:t>
      </w:r>
      <w:r w:rsidR="0056782C">
        <w:rPr>
          <w:rFonts w:ascii="Times New Roman" w:hAnsi="Times New Roman" w:cs="Times New Roman"/>
          <w:sz w:val="28"/>
          <w:szCs w:val="28"/>
        </w:rPr>
        <w:t>6,4</w:t>
      </w:r>
      <w:r w:rsidRPr="00CB158E">
        <w:rPr>
          <w:rFonts w:ascii="Times New Roman" w:hAnsi="Times New Roman" w:cs="Times New Roman"/>
          <w:sz w:val="28"/>
          <w:szCs w:val="28"/>
        </w:rPr>
        <w:t xml:space="preserve"> млн. грн </w:t>
      </w:r>
      <w:r w:rsidR="0056782C">
        <w:rPr>
          <w:rFonts w:ascii="Times New Roman" w:hAnsi="Times New Roman" w:cs="Times New Roman"/>
          <w:sz w:val="28"/>
          <w:szCs w:val="28"/>
        </w:rPr>
        <w:t xml:space="preserve">внаслідок </w:t>
      </w:r>
      <w:r w:rsidR="00D32D26">
        <w:rPr>
          <w:rFonts w:ascii="Times New Roman" w:hAnsi="Times New Roman" w:cs="Times New Roman"/>
          <w:sz w:val="28"/>
          <w:szCs w:val="28"/>
        </w:rPr>
        <w:t>спрямування фінансових ресурсів на утримання понаднормативних посад працівників, а також недотримання режиму економії бюджетних коштів та принципів визначених бюджетним законодавством.</w:t>
      </w:r>
    </w:p>
    <w:p w14:paraId="2C1FC50B" w14:textId="77777777" w:rsidR="0056782C" w:rsidRPr="000F0CC7" w:rsidRDefault="0056782C" w:rsidP="0056782C">
      <w:pPr>
        <w:widowControl w:val="0"/>
        <w:spacing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Внаслідок придбання матеріальних цінностей, які т</w:t>
      </w:r>
      <w:r w:rsidR="005132FC">
        <w:rPr>
          <w:rFonts w:ascii="Times New Roman" w:hAnsi="Times New Roman" w:cs="Times New Roman"/>
          <w:sz w:val="28"/>
          <w:szCs w:val="28"/>
        </w:rPr>
        <w:t xml:space="preserve">ривалий час не </w:t>
      </w:r>
      <w:r w:rsidR="005132FC" w:rsidRPr="000F0CC7">
        <w:rPr>
          <w:rFonts w:ascii="Times New Roman" w:hAnsi="Times New Roman" w:cs="Times New Roman"/>
          <w:sz w:val="28"/>
          <w:szCs w:val="28"/>
        </w:rPr>
        <w:t xml:space="preserve">використовуються, допущено неефективне витрачання бюджетних коштів на </w:t>
      </w:r>
      <w:r w:rsidR="005132FC" w:rsidRPr="000F0CC7">
        <w:rPr>
          <w:rFonts w:ascii="Times New Roman" w:hAnsi="Times New Roman" w:cs="Times New Roman"/>
          <w:sz w:val="28"/>
          <w:szCs w:val="28"/>
        </w:rPr>
        <w:lastRenderedPageBreak/>
        <w:t>суму 1,7 млн. грив</w:t>
      </w:r>
      <w:r w:rsidR="000F0CC7" w:rsidRPr="000F0CC7">
        <w:rPr>
          <w:rFonts w:ascii="Times New Roman" w:hAnsi="Times New Roman" w:cs="Times New Roman"/>
          <w:sz w:val="28"/>
          <w:szCs w:val="28"/>
        </w:rPr>
        <w:t>ень.</w:t>
      </w:r>
    </w:p>
    <w:p w14:paraId="59D7054B" w14:textId="77777777" w:rsidR="00432A22" w:rsidRPr="000F0CC7" w:rsidRDefault="00432A22" w:rsidP="00432A22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допущено неефективне використання коштів на суму 1,5 млн. грн внаслідок невжиття достатніх заходів для стягнення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протермінованої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дебіторської заборгованості.</w:t>
      </w:r>
    </w:p>
    <w:p w14:paraId="28F30755" w14:textId="77777777" w:rsidR="00432A22" w:rsidRPr="000F0CC7" w:rsidRDefault="00432A22" w:rsidP="00432A22">
      <w:pPr>
        <w:widowControl w:val="0"/>
        <w:spacing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0F0CC7">
        <w:rPr>
          <w:rFonts w:ascii="Times New Roman" w:hAnsi="Times New Roman" w:cs="Times New Roman"/>
          <w:sz w:val="28"/>
          <w:szCs w:val="28"/>
        </w:rPr>
        <w:t xml:space="preserve">Внаслідок прийняття керівництвом комунальних підприємств та закладів неефективних управлінських рішень щодо укладення договорів без обґрунтованої потреби на надання послуг з сторонніми суб’єктами господарювання, допущено непродуктивні витрати на суму 0,3 млн. гривень. </w:t>
      </w:r>
    </w:p>
    <w:p w14:paraId="0E6D0FBD" w14:textId="77777777" w:rsidR="005132FC" w:rsidRPr="000F0CC7" w:rsidRDefault="0056782C" w:rsidP="005132FC">
      <w:pPr>
        <w:widowControl w:val="0"/>
        <w:spacing w:line="24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0F0CC7">
        <w:rPr>
          <w:rFonts w:ascii="Times New Roman" w:hAnsi="Times New Roman" w:cs="Times New Roman"/>
          <w:sz w:val="28"/>
          <w:szCs w:val="28"/>
        </w:rPr>
        <w:t>Крім цього,</w:t>
      </w:r>
      <w:r w:rsidR="005132FC" w:rsidRPr="000F0CC7">
        <w:rPr>
          <w:rFonts w:ascii="Times New Roman" w:hAnsi="Times New Roman" w:cs="Times New Roman"/>
          <w:sz w:val="28"/>
          <w:szCs w:val="28"/>
        </w:rPr>
        <w:t xml:space="preserve"> неефективно використано коштів на утримання</w:t>
      </w:r>
      <w:r w:rsidRPr="000F0CC7">
        <w:rPr>
          <w:rFonts w:ascii="Times New Roman" w:hAnsi="Times New Roman" w:cs="Times New Roman"/>
          <w:sz w:val="28"/>
          <w:szCs w:val="28"/>
        </w:rPr>
        <w:t xml:space="preserve"> </w:t>
      </w:r>
      <w:r w:rsidR="005132FC" w:rsidRPr="000F0CC7">
        <w:rPr>
          <w:rFonts w:ascii="Times New Roman" w:hAnsi="Times New Roman" w:cs="Times New Roman"/>
          <w:sz w:val="28"/>
          <w:szCs w:val="28"/>
        </w:rPr>
        <w:t>нежитлових приміщень, які не використовуються та потребують ремонту на суму 0,1 млн. гривень.</w:t>
      </w:r>
      <w:r w:rsidR="00952773" w:rsidRPr="000F0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1808F" w14:textId="77777777" w:rsidR="0056782C" w:rsidRDefault="0056782C" w:rsidP="003C3841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14:paraId="19AD9896" w14:textId="77777777" w:rsidR="003C3841" w:rsidRPr="00CB158E" w:rsidRDefault="003C3841" w:rsidP="003C3841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Порушення </w:t>
      </w:r>
      <w:r w:rsidR="00C31BA8">
        <w:rPr>
          <w:rFonts w:ascii="Times New Roman" w:hAnsi="Times New Roman" w:cs="Times New Roman"/>
          <w:sz w:val="28"/>
          <w:szCs w:val="28"/>
        </w:rPr>
        <w:t xml:space="preserve">законодавства </w:t>
      </w:r>
      <w:r w:rsidR="000F0CC7">
        <w:rPr>
          <w:rFonts w:ascii="Times New Roman" w:hAnsi="Times New Roman" w:cs="Times New Roman"/>
          <w:sz w:val="28"/>
          <w:szCs w:val="28"/>
        </w:rPr>
        <w:t xml:space="preserve">та рішень Львівської міської ради </w:t>
      </w:r>
      <w:r w:rsidR="00C31BA8">
        <w:rPr>
          <w:rFonts w:ascii="Times New Roman" w:hAnsi="Times New Roman" w:cs="Times New Roman"/>
          <w:sz w:val="28"/>
          <w:szCs w:val="28"/>
        </w:rPr>
        <w:t>при здійсненні закупів</w:t>
      </w:r>
      <w:r w:rsidR="00FA7E5E">
        <w:rPr>
          <w:rFonts w:ascii="Times New Roman" w:hAnsi="Times New Roman" w:cs="Times New Roman"/>
          <w:sz w:val="28"/>
          <w:szCs w:val="28"/>
        </w:rPr>
        <w:t>л</w:t>
      </w:r>
      <w:r w:rsidR="00C31BA8">
        <w:rPr>
          <w:rFonts w:ascii="Times New Roman" w:hAnsi="Times New Roman" w:cs="Times New Roman"/>
          <w:sz w:val="28"/>
          <w:szCs w:val="28"/>
        </w:rPr>
        <w:t>і товарів, робіт та послуг протягом 2025</w:t>
      </w:r>
      <w:r w:rsidRPr="00CB158E">
        <w:rPr>
          <w:rFonts w:ascii="Times New Roman" w:hAnsi="Times New Roman" w:cs="Times New Roman"/>
          <w:sz w:val="28"/>
          <w:szCs w:val="28"/>
        </w:rPr>
        <w:t xml:space="preserve"> року склали </w:t>
      </w:r>
      <w:r w:rsidR="00C31BA8">
        <w:rPr>
          <w:rFonts w:ascii="Times New Roman" w:hAnsi="Times New Roman" w:cs="Times New Roman"/>
          <w:b/>
          <w:sz w:val="28"/>
          <w:szCs w:val="28"/>
        </w:rPr>
        <w:t>1</w:t>
      </w:r>
      <w:r w:rsidR="000238B9">
        <w:rPr>
          <w:rFonts w:ascii="Times New Roman" w:hAnsi="Times New Roman" w:cs="Times New Roman"/>
          <w:b/>
          <w:sz w:val="28"/>
          <w:szCs w:val="28"/>
        </w:rPr>
        <w:t>1</w:t>
      </w:r>
      <w:r w:rsidR="009F539B">
        <w:rPr>
          <w:rFonts w:ascii="Times New Roman" w:hAnsi="Times New Roman" w:cs="Times New Roman"/>
          <w:b/>
          <w:sz w:val="28"/>
          <w:szCs w:val="28"/>
        </w:rPr>
        <w:t>,</w:t>
      </w:r>
      <w:r w:rsidR="000238B9">
        <w:rPr>
          <w:rFonts w:ascii="Times New Roman" w:hAnsi="Times New Roman" w:cs="Times New Roman"/>
          <w:b/>
          <w:sz w:val="28"/>
          <w:szCs w:val="28"/>
        </w:rPr>
        <w:t>9</w:t>
      </w:r>
      <w:r w:rsidRPr="00CB158E">
        <w:rPr>
          <w:rFonts w:ascii="Times New Roman" w:hAnsi="Times New Roman" w:cs="Times New Roman"/>
          <w:sz w:val="28"/>
          <w:szCs w:val="28"/>
        </w:rPr>
        <w:t> млн. гривень.</w:t>
      </w:r>
    </w:p>
    <w:p w14:paraId="33C37388" w14:textId="77777777" w:rsidR="00C31BA8" w:rsidRDefault="003C3841" w:rsidP="00C31BA8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Так, встановлено </w:t>
      </w:r>
      <w:r w:rsidR="000238B9">
        <w:rPr>
          <w:rFonts w:ascii="Times New Roman" w:hAnsi="Times New Roman" w:cs="Times New Roman"/>
          <w:sz w:val="28"/>
          <w:szCs w:val="28"/>
        </w:rPr>
        <w:t>випадки недотримання законодавства в сфері публічних закупівель, зокрема не оприлюднення або несвоєчасне оприлюднення інформації про закупівлі на суму 1,8 млн. гривень.</w:t>
      </w:r>
    </w:p>
    <w:p w14:paraId="6C33F55B" w14:textId="77777777" w:rsidR="000238B9" w:rsidRPr="000238B9" w:rsidRDefault="000238B9" w:rsidP="000238B9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в</w:t>
      </w:r>
      <w:r w:rsidRPr="000238B9">
        <w:rPr>
          <w:rFonts w:ascii="Times New Roman" w:hAnsi="Times New Roman" w:cs="Times New Roman"/>
          <w:sz w:val="28"/>
          <w:szCs w:val="28"/>
        </w:rPr>
        <w:t xml:space="preserve"> порушення вимог рішення виконавчого комітету ЛМР від 14.02.2020 №112 «Про затвердження Порядку проведення перевірки управлінням фінансового контролю департаменту «Адміністрація міського голови» кошторисної документації» в управлінн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38B9">
        <w:rPr>
          <w:rFonts w:ascii="Times New Roman" w:hAnsi="Times New Roman" w:cs="Times New Roman"/>
          <w:sz w:val="28"/>
          <w:szCs w:val="28"/>
        </w:rPr>
        <w:t xml:space="preserve"> фінансового контролю не скеров</w:t>
      </w:r>
      <w:r>
        <w:rPr>
          <w:rFonts w:ascii="Times New Roman" w:hAnsi="Times New Roman" w:cs="Times New Roman"/>
          <w:sz w:val="28"/>
          <w:szCs w:val="28"/>
        </w:rPr>
        <w:t>увалися</w:t>
      </w:r>
      <w:r w:rsidRPr="000238B9">
        <w:rPr>
          <w:rFonts w:ascii="Times New Roman" w:hAnsi="Times New Roman" w:cs="Times New Roman"/>
          <w:sz w:val="28"/>
          <w:szCs w:val="28"/>
        </w:rPr>
        <w:t xml:space="preserve"> для проведення перевірки та погодження кошторисн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238B9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38B9">
        <w:rPr>
          <w:rFonts w:ascii="Times New Roman" w:hAnsi="Times New Roman" w:cs="Times New Roman"/>
          <w:sz w:val="28"/>
          <w:szCs w:val="28"/>
        </w:rPr>
        <w:t xml:space="preserve"> на надання послуг з поточних ремонтів на загальну суму </w:t>
      </w:r>
      <w:r>
        <w:rPr>
          <w:rFonts w:ascii="Times New Roman" w:hAnsi="Times New Roman" w:cs="Times New Roman"/>
          <w:sz w:val="28"/>
          <w:szCs w:val="28"/>
        </w:rPr>
        <w:t>9,8</w:t>
      </w:r>
      <w:r w:rsidRPr="000238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млн</w:t>
      </w:r>
      <w:r w:rsidRPr="000238B9">
        <w:rPr>
          <w:rFonts w:ascii="Times New Roman" w:hAnsi="Times New Roman" w:cs="Times New Roman"/>
          <w:sz w:val="28"/>
          <w:szCs w:val="28"/>
        </w:rPr>
        <w:t>. гривень.</w:t>
      </w:r>
    </w:p>
    <w:p w14:paraId="205892CE" w14:textId="77777777" w:rsidR="00EF3A05" w:rsidRPr="00EF3A05" w:rsidRDefault="00EF3A05" w:rsidP="00EF3A05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Також, в порушення вимог </w:t>
      </w:r>
      <w:r w:rsidRPr="00EF3A05">
        <w:rPr>
          <w:rFonts w:ascii="Times New Roman" w:hAnsi="Times New Roman" w:cs="Times New Roman"/>
          <w:sz w:val="28"/>
          <w:szCs w:val="28"/>
        </w:rPr>
        <w:t>ухвал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3A05">
        <w:rPr>
          <w:rFonts w:ascii="Times New Roman" w:hAnsi="Times New Roman" w:cs="Times New Roman"/>
          <w:sz w:val="28"/>
          <w:szCs w:val="28"/>
        </w:rPr>
        <w:t xml:space="preserve"> ЛМР від 12.07.2012 №1595 «Про затвердження Положення про порядок списання майна, яке належить до комунальної власності територіальної громади м. Львова», </w:t>
      </w:r>
      <w:r>
        <w:rPr>
          <w:rFonts w:ascii="Times New Roman" w:hAnsi="Times New Roman" w:cs="Times New Roman"/>
          <w:sz w:val="28"/>
          <w:szCs w:val="28"/>
        </w:rPr>
        <w:t>комунальним підприємством не дотримано</w:t>
      </w:r>
      <w:r w:rsidRPr="00EF3A05">
        <w:rPr>
          <w:rFonts w:ascii="Times New Roman" w:hAnsi="Times New Roman" w:cs="Times New Roman"/>
          <w:sz w:val="28"/>
          <w:szCs w:val="28"/>
        </w:rPr>
        <w:t xml:space="preserve"> процедури погодження актів на списання інших необоротних матеріал</w:t>
      </w:r>
      <w:r>
        <w:rPr>
          <w:rFonts w:ascii="Times New Roman" w:hAnsi="Times New Roman" w:cs="Times New Roman"/>
          <w:sz w:val="28"/>
          <w:szCs w:val="28"/>
        </w:rPr>
        <w:t>ьних активів органом управління</w:t>
      </w:r>
      <w:r w:rsidRPr="00EF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F3A05">
        <w:rPr>
          <w:rFonts w:ascii="Times New Roman" w:hAnsi="Times New Roman" w:cs="Times New Roman"/>
          <w:sz w:val="28"/>
          <w:szCs w:val="28"/>
        </w:rPr>
        <w:t>загальн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суму</w:t>
      </w:r>
      <w:r w:rsidRPr="00EF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EF3A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млн. гривень</w:t>
      </w:r>
      <w:r w:rsidRPr="00EF3A05">
        <w:rPr>
          <w:rFonts w:ascii="Times New Roman" w:hAnsi="Times New Roman" w:cs="Times New Roman"/>
          <w:sz w:val="28"/>
          <w:szCs w:val="28"/>
        </w:rPr>
        <w:t>.</w:t>
      </w:r>
    </w:p>
    <w:p w14:paraId="0104AE4C" w14:textId="77777777" w:rsidR="00C31BA8" w:rsidRDefault="00C31BA8" w:rsidP="00C31BA8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14:paraId="2B9F5BB3" w14:textId="77777777" w:rsidR="003C3841" w:rsidRPr="00CB158E" w:rsidRDefault="003C3841" w:rsidP="00C31BA8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Інші порушення фінансової дисципліни, які не призвели до втрат, на загальну суму </w:t>
      </w:r>
      <w:r w:rsidR="001856E2" w:rsidRPr="001856E2">
        <w:rPr>
          <w:rFonts w:ascii="Times New Roman" w:hAnsi="Times New Roman" w:cs="Times New Roman"/>
          <w:b/>
          <w:sz w:val="28"/>
          <w:szCs w:val="28"/>
        </w:rPr>
        <w:t>10,5</w:t>
      </w:r>
      <w:r w:rsidRPr="00CB1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>млн. грн, сформовано із порушень, зокрема:</w:t>
      </w:r>
    </w:p>
    <w:p w14:paraId="1B8D9D73" w14:textId="77777777" w:rsidR="003C3841" w:rsidRPr="00CB158E" w:rsidRDefault="003C3841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>-</w:t>
      </w:r>
      <w:r w:rsidRPr="00CB158E">
        <w:t xml:space="preserve"> </w:t>
      </w:r>
      <w:r w:rsidRPr="00CB158E">
        <w:rPr>
          <w:rFonts w:ascii="Times New Roman" w:hAnsi="Times New Roman" w:cs="Times New Roman"/>
          <w:sz w:val="28"/>
          <w:szCs w:val="28"/>
        </w:rPr>
        <w:t xml:space="preserve">заниження та завищення в обліку вартості необоротних активів – </w:t>
      </w:r>
      <w:r w:rsidR="00812880">
        <w:rPr>
          <w:rFonts w:ascii="Times New Roman" w:hAnsi="Times New Roman" w:cs="Times New Roman"/>
          <w:sz w:val="28"/>
          <w:szCs w:val="28"/>
        </w:rPr>
        <w:t>0,63</w:t>
      </w:r>
      <w:r w:rsidRPr="00CB158E">
        <w:rPr>
          <w:rFonts w:ascii="Times New Roman" w:hAnsi="Times New Roman" w:cs="Times New Roman"/>
          <w:sz w:val="28"/>
          <w:szCs w:val="28"/>
        </w:rPr>
        <w:t xml:space="preserve"> млн. грн та </w:t>
      </w:r>
      <w:r w:rsidR="00210BCD">
        <w:rPr>
          <w:rFonts w:ascii="Times New Roman" w:hAnsi="Times New Roman" w:cs="Times New Roman"/>
          <w:sz w:val="28"/>
          <w:szCs w:val="28"/>
        </w:rPr>
        <w:t>0,0</w:t>
      </w:r>
      <w:r w:rsidR="001856E2">
        <w:rPr>
          <w:rFonts w:ascii="Times New Roman" w:hAnsi="Times New Roman" w:cs="Times New Roman"/>
          <w:sz w:val="28"/>
          <w:szCs w:val="28"/>
        </w:rPr>
        <w:t>7</w:t>
      </w:r>
      <w:r w:rsidRPr="00CB158E">
        <w:rPr>
          <w:rFonts w:ascii="Times New Roman" w:hAnsi="Times New Roman" w:cs="Times New Roman"/>
          <w:sz w:val="28"/>
          <w:szCs w:val="28"/>
        </w:rPr>
        <w:t xml:space="preserve"> млн. грн, відповідно;</w:t>
      </w:r>
    </w:p>
    <w:p w14:paraId="22DE0555" w14:textId="77777777" w:rsidR="003C3841" w:rsidRDefault="003C3841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- виявлення лишків матеріальних цінностей – </w:t>
      </w:r>
      <w:r w:rsidR="001856E2">
        <w:rPr>
          <w:rFonts w:ascii="Times New Roman" w:hAnsi="Times New Roman" w:cs="Times New Roman"/>
          <w:sz w:val="28"/>
          <w:szCs w:val="28"/>
        </w:rPr>
        <w:t>0,4</w:t>
      </w:r>
      <w:r w:rsidRPr="00CB158E">
        <w:rPr>
          <w:rFonts w:ascii="Times New Roman" w:hAnsi="Times New Roman" w:cs="Times New Roman"/>
          <w:sz w:val="28"/>
          <w:szCs w:val="28"/>
        </w:rPr>
        <w:t xml:space="preserve"> млн. грн;</w:t>
      </w:r>
    </w:p>
    <w:p w14:paraId="3A7F40B8" w14:textId="77777777" w:rsidR="001856E2" w:rsidRPr="00CB158E" w:rsidRDefault="001856E2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проведення списання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протермінованої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кредиторської заборгованості – 1,5 млн. грн;</w:t>
      </w:r>
    </w:p>
    <w:p w14:paraId="3EE2A2D5" w14:textId="77777777" w:rsidR="003C3841" w:rsidRPr="00CB158E" w:rsidRDefault="003C3841" w:rsidP="00897808">
      <w:pPr>
        <w:widowControl w:val="0"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 xml:space="preserve">          - інших порушень – </w:t>
      </w:r>
      <w:r w:rsidR="001856E2">
        <w:rPr>
          <w:rFonts w:ascii="Times New Roman" w:hAnsi="Times New Roman" w:cs="Times New Roman"/>
          <w:sz w:val="28"/>
          <w:szCs w:val="28"/>
        </w:rPr>
        <w:t xml:space="preserve">1,4 </w:t>
      </w:r>
      <w:r w:rsidRPr="00CB158E">
        <w:rPr>
          <w:rFonts w:ascii="Times New Roman" w:hAnsi="Times New Roman" w:cs="Times New Roman"/>
          <w:sz w:val="28"/>
          <w:szCs w:val="28"/>
        </w:rPr>
        <w:t>млн. гривень.</w:t>
      </w:r>
    </w:p>
    <w:p w14:paraId="178D8838" w14:textId="77777777" w:rsidR="000F2075" w:rsidRDefault="003C3841" w:rsidP="000F2075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B158E">
        <w:rPr>
          <w:rFonts w:ascii="Times New Roman" w:hAnsi="Times New Roman" w:cs="Times New Roman"/>
          <w:sz w:val="28"/>
          <w:szCs w:val="28"/>
        </w:rPr>
        <w:t xml:space="preserve">аниження вартості необоротних активів на суму </w:t>
      </w:r>
      <w:r w:rsidR="00812880">
        <w:rPr>
          <w:rFonts w:ascii="Times New Roman" w:hAnsi="Times New Roman" w:cs="Times New Roman"/>
          <w:sz w:val="28"/>
          <w:szCs w:val="28"/>
        </w:rPr>
        <w:t>0,63</w:t>
      </w:r>
      <w:r w:rsidRPr="00CB158E">
        <w:rPr>
          <w:rFonts w:ascii="Times New Roman" w:hAnsi="Times New Roman" w:cs="Times New Roman"/>
          <w:sz w:val="28"/>
          <w:szCs w:val="28"/>
        </w:rPr>
        <w:t xml:space="preserve"> млн. грн спричинені </w:t>
      </w:r>
      <w:r w:rsidR="000F2075" w:rsidRPr="00CB158E">
        <w:rPr>
          <w:rFonts w:ascii="Times New Roman" w:hAnsi="Times New Roman" w:cs="Times New Roman"/>
          <w:sz w:val="28"/>
          <w:szCs w:val="28"/>
        </w:rPr>
        <w:t xml:space="preserve">не оприбуткуванням на баланс </w:t>
      </w:r>
      <w:r w:rsidR="000F2075">
        <w:rPr>
          <w:rFonts w:ascii="Times New Roman" w:hAnsi="Times New Roman" w:cs="Times New Roman"/>
          <w:sz w:val="28"/>
          <w:szCs w:val="28"/>
        </w:rPr>
        <w:t>установ та</w:t>
      </w:r>
      <w:r w:rsidR="000F2075" w:rsidRPr="000F2075">
        <w:rPr>
          <w:rFonts w:ascii="Times New Roman" w:hAnsi="Times New Roman" w:cs="Times New Roman"/>
          <w:sz w:val="28"/>
          <w:szCs w:val="28"/>
        </w:rPr>
        <w:t xml:space="preserve"> </w:t>
      </w:r>
      <w:r w:rsidR="000F2075" w:rsidRPr="00CB158E">
        <w:rPr>
          <w:rFonts w:ascii="Times New Roman" w:hAnsi="Times New Roman" w:cs="Times New Roman"/>
          <w:sz w:val="28"/>
          <w:szCs w:val="28"/>
        </w:rPr>
        <w:t>комунальних підприємств</w:t>
      </w:r>
      <w:r w:rsidR="000F2075" w:rsidRPr="000F2075">
        <w:rPr>
          <w:rFonts w:ascii="Times New Roman" w:hAnsi="Times New Roman" w:cs="Times New Roman"/>
          <w:sz w:val="28"/>
          <w:szCs w:val="28"/>
        </w:rPr>
        <w:t xml:space="preserve"> видатків на </w:t>
      </w:r>
      <w:r w:rsidR="000F2075">
        <w:rPr>
          <w:rFonts w:ascii="Times New Roman" w:hAnsi="Times New Roman" w:cs="Times New Roman"/>
          <w:sz w:val="28"/>
          <w:szCs w:val="28"/>
        </w:rPr>
        <w:t xml:space="preserve">монтаж основних засобів та </w:t>
      </w:r>
      <w:r w:rsidR="000F2075" w:rsidRPr="000F2075">
        <w:rPr>
          <w:rFonts w:ascii="Times New Roman" w:hAnsi="Times New Roman" w:cs="Times New Roman"/>
          <w:sz w:val="28"/>
          <w:szCs w:val="28"/>
        </w:rPr>
        <w:t>реконструкцію орендованих приміщень</w:t>
      </w:r>
      <w:r w:rsidR="000F2075">
        <w:rPr>
          <w:rFonts w:ascii="Times New Roman" w:hAnsi="Times New Roman" w:cs="Times New Roman"/>
          <w:sz w:val="28"/>
          <w:szCs w:val="28"/>
        </w:rPr>
        <w:t>.</w:t>
      </w:r>
    </w:p>
    <w:p w14:paraId="2BAF80B8" w14:textId="77777777" w:rsidR="00585D21" w:rsidRPr="00585D21" w:rsidRDefault="00BF4DBA" w:rsidP="00585D21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>Водночас завищення вартості необоротних активів на суму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2880">
        <w:rPr>
          <w:rFonts w:ascii="Times New Roman" w:hAnsi="Times New Roman" w:cs="Times New Roman"/>
          <w:sz w:val="28"/>
          <w:szCs w:val="28"/>
        </w:rPr>
        <w:t>7</w:t>
      </w:r>
      <w:r w:rsidRPr="00CB158E">
        <w:rPr>
          <w:rFonts w:ascii="Times New Roman" w:hAnsi="Times New Roman" w:cs="Times New Roman"/>
          <w:sz w:val="28"/>
          <w:szCs w:val="28"/>
        </w:rPr>
        <w:t xml:space="preserve"> млн. грн </w:t>
      </w:r>
      <w:r w:rsidRPr="00CB158E">
        <w:rPr>
          <w:rFonts w:ascii="Times New Roman" w:hAnsi="Times New Roman" w:cs="Times New Roman"/>
          <w:sz w:val="28"/>
          <w:szCs w:val="28"/>
        </w:rPr>
        <w:lastRenderedPageBreak/>
        <w:t xml:space="preserve">спричинено </w:t>
      </w:r>
      <w:r w:rsidR="00585D21" w:rsidRPr="00585D21">
        <w:rPr>
          <w:rFonts w:ascii="Times New Roman" w:hAnsi="Times New Roman" w:cs="Times New Roman"/>
          <w:sz w:val="28"/>
          <w:szCs w:val="28"/>
        </w:rPr>
        <w:t>внаслідок не списання з балансу комунальн</w:t>
      </w:r>
      <w:r w:rsidR="00812880">
        <w:rPr>
          <w:rFonts w:ascii="Times New Roman" w:hAnsi="Times New Roman" w:cs="Times New Roman"/>
          <w:sz w:val="28"/>
          <w:szCs w:val="28"/>
        </w:rPr>
        <w:t>их</w:t>
      </w:r>
      <w:r w:rsidR="00585D21" w:rsidRPr="00585D21">
        <w:rPr>
          <w:rFonts w:ascii="Times New Roman" w:hAnsi="Times New Roman" w:cs="Times New Roman"/>
          <w:sz w:val="28"/>
          <w:szCs w:val="28"/>
        </w:rPr>
        <w:t xml:space="preserve"> підприємств </w:t>
      </w:r>
      <w:r w:rsidR="00585D21">
        <w:rPr>
          <w:rFonts w:ascii="Times New Roman" w:hAnsi="Times New Roman" w:cs="Times New Roman"/>
          <w:sz w:val="28"/>
          <w:szCs w:val="28"/>
        </w:rPr>
        <w:t>основних засобів</w:t>
      </w:r>
      <w:r w:rsidR="00585D21" w:rsidRPr="00585D21">
        <w:rPr>
          <w:rFonts w:ascii="Times New Roman" w:hAnsi="Times New Roman" w:cs="Times New Roman"/>
          <w:sz w:val="28"/>
          <w:szCs w:val="28"/>
        </w:rPr>
        <w:t>.</w:t>
      </w:r>
    </w:p>
    <w:p w14:paraId="06E9EB6A" w14:textId="77777777" w:rsidR="005B1681" w:rsidRDefault="005B1681" w:rsidP="00762DAB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порушення фінансової дисципліни на суму </w:t>
      </w:r>
      <w:r w:rsidR="00812880">
        <w:rPr>
          <w:rFonts w:ascii="Times New Roman" w:hAnsi="Times New Roman" w:cs="Times New Roman"/>
          <w:sz w:val="28"/>
          <w:szCs w:val="28"/>
        </w:rPr>
        <w:t>6,5</w:t>
      </w:r>
      <w:r>
        <w:rPr>
          <w:rFonts w:ascii="Times New Roman" w:hAnsi="Times New Roman" w:cs="Times New Roman"/>
          <w:sz w:val="28"/>
          <w:szCs w:val="28"/>
        </w:rPr>
        <w:t xml:space="preserve"> млн. грн допущено у зв’язку з </w:t>
      </w:r>
      <w:r w:rsidRPr="005B1681">
        <w:rPr>
          <w:rFonts w:ascii="Times New Roman" w:hAnsi="Times New Roman" w:cs="Times New Roman"/>
          <w:sz w:val="28"/>
          <w:szCs w:val="28"/>
        </w:rPr>
        <w:t>не відображен</w:t>
      </w:r>
      <w:r>
        <w:rPr>
          <w:rFonts w:ascii="Times New Roman" w:hAnsi="Times New Roman" w:cs="Times New Roman"/>
          <w:sz w:val="28"/>
          <w:szCs w:val="28"/>
        </w:rPr>
        <w:t>ням</w:t>
      </w:r>
      <w:r w:rsidRPr="005B1681">
        <w:rPr>
          <w:rFonts w:ascii="Times New Roman" w:hAnsi="Times New Roman" w:cs="Times New Roman"/>
          <w:sz w:val="28"/>
          <w:szCs w:val="28"/>
        </w:rPr>
        <w:t xml:space="preserve"> за даними обліку </w:t>
      </w:r>
      <w:r>
        <w:rPr>
          <w:rFonts w:ascii="Times New Roman" w:hAnsi="Times New Roman" w:cs="Times New Roman"/>
          <w:sz w:val="28"/>
          <w:szCs w:val="28"/>
        </w:rPr>
        <w:t xml:space="preserve">установи </w:t>
      </w:r>
      <w:r w:rsidR="00762DAB">
        <w:rPr>
          <w:rFonts w:ascii="Times New Roman" w:hAnsi="Times New Roman" w:cs="Times New Roman"/>
          <w:sz w:val="28"/>
          <w:szCs w:val="28"/>
        </w:rPr>
        <w:t>о</w:t>
      </w:r>
      <w:r w:rsidRPr="005B1681">
        <w:rPr>
          <w:rFonts w:ascii="Times New Roman" w:hAnsi="Times New Roman" w:cs="Times New Roman"/>
          <w:sz w:val="28"/>
          <w:szCs w:val="28"/>
        </w:rPr>
        <w:t>рендован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B1681">
        <w:rPr>
          <w:rFonts w:ascii="Times New Roman" w:hAnsi="Times New Roman" w:cs="Times New Roman"/>
          <w:sz w:val="28"/>
          <w:szCs w:val="28"/>
        </w:rPr>
        <w:t xml:space="preserve"> приміщен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B1681">
        <w:rPr>
          <w:rFonts w:ascii="Times New Roman" w:hAnsi="Times New Roman" w:cs="Times New Roman"/>
          <w:sz w:val="28"/>
          <w:szCs w:val="28"/>
        </w:rPr>
        <w:t>.</w:t>
      </w:r>
    </w:p>
    <w:p w14:paraId="56F8E972" w14:textId="77777777" w:rsidR="00730A85" w:rsidRPr="005B1681" w:rsidRDefault="00730A85" w:rsidP="00762DAB">
      <w:pPr>
        <w:widowControl w:val="0"/>
        <w:suppressAutoHyphens/>
        <w:spacing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14:paraId="26208D23" w14:textId="77777777" w:rsidR="003C3841" w:rsidRPr="00CB158E" w:rsidRDefault="003C3841" w:rsidP="003C3841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58E">
        <w:rPr>
          <w:rFonts w:ascii="Times New Roman" w:hAnsi="Times New Roman" w:cs="Times New Roman"/>
          <w:sz w:val="28"/>
          <w:szCs w:val="28"/>
        </w:rPr>
        <w:t>За результатами проведених у 202</w:t>
      </w:r>
      <w:r w:rsidR="00CA1E0C">
        <w:rPr>
          <w:rFonts w:ascii="Times New Roman" w:hAnsi="Times New Roman" w:cs="Times New Roman"/>
          <w:sz w:val="28"/>
          <w:szCs w:val="28"/>
        </w:rPr>
        <w:t>5</w:t>
      </w:r>
      <w:r w:rsidRPr="00CB158E">
        <w:rPr>
          <w:rFonts w:ascii="Times New Roman" w:hAnsi="Times New Roman" w:cs="Times New Roman"/>
          <w:sz w:val="28"/>
          <w:szCs w:val="28"/>
        </w:rPr>
        <w:t xml:space="preserve"> році перевірок фінансово-господарської діяльності уповноваженим органам скеровано інформації, а керівникам комунальних підприємств, установ та організацій - відповідні пропозиції для вжиття належних заходів з метою усунення виявлених порушень та недоліків. Про результати проведених перевірок проінформовано Львівського міського голову.</w:t>
      </w:r>
    </w:p>
    <w:p w14:paraId="49D33F92" w14:textId="77777777" w:rsidR="00730A85" w:rsidRDefault="00730A85" w:rsidP="00730A85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3AA54C" w14:textId="77777777" w:rsidR="00730A85" w:rsidRPr="00730A85" w:rsidRDefault="00730A85" w:rsidP="00730A85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перевірками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втрат коштів Львівської міської територіальної громади на загальну суму </w:t>
      </w:r>
      <w:r w:rsidRPr="00730A85">
        <w:rPr>
          <w:rFonts w:ascii="Times New Roman" w:hAnsi="Times New Roman" w:cs="Times New Roman"/>
          <w:b/>
          <w:sz w:val="28"/>
          <w:szCs w:val="28"/>
        </w:rPr>
        <w:t>8,3</w:t>
      </w:r>
      <w:r>
        <w:rPr>
          <w:rFonts w:ascii="Times New Roman" w:hAnsi="Times New Roman" w:cs="Times New Roman"/>
          <w:sz w:val="28"/>
          <w:szCs w:val="28"/>
        </w:rPr>
        <w:t xml:space="preserve"> млн. грн. Зокрема, і</w:t>
      </w:r>
      <w:r w:rsidRPr="00730A85">
        <w:rPr>
          <w:rFonts w:ascii="Times New Roman" w:hAnsi="Times New Roman" w:cs="Times New Roman"/>
          <w:sz w:val="28"/>
          <w:szCs w:val="28"/>
        </w:rPr>
        <w:t xml:space="preserve">з загального обсягу кредиторської заборгованості перед контрагентами </w:t>
      </w:r>
      <w:r>
        <w:rPr>
          <w:rFonts w:ascii="Times New Roman" w:hAnsi="Times New Roman" w:cs="Times New Roman"/>
          <w:sz w:val="28"/>
          <w:szCs w:val="28"/>
        </w:rPr>
        <w:t>8,</w:t>
      </w:r>
      <w:r w:rsidRPr="00730A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Pr="00730A85">
        <w:rPr>
          <w:rFonts w:ascii="Times New Roman" w:hAnsi="Times New Roman" w:cs="Times New Roman"/>
          <w:sz w:val="28"/>
          <w:szCs w:val="28"/>
        </w:rPr>
        <w:t>. грн не підтверджено актами звіряння. Претензії та судові вимоги не надходили.</w:t>
      </w:r>
    </w:p>
    <w:p w14:paraId="0CE4259C" w14:textId="77777777" w:rsidR="002824AE" w:rsidRDefault="002824AE" w:rsidP="00783AB0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8392B6" w14:textId="77777777" w:rsidR="009F1EBC" w:rsidRPr="004C498D" w:rsidRDefault="00586C7A" w:rsidP="00783AB0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>Протягом 202</w:t>
      </w:r>
      <w:r w:rsidR="002C4803">
        <w:rPr>
          <w:rFonts w:ascii="Times New Roman" w:hAnsi="Times New Roman" w:cs="Times New Roman"/>
          <w:sz w:val="28"/>
          <w:szCs w:val="28"/>
        </w:rPr>
        <w:t>5</w:t>
      </w:r>
      <w:r w:rsidRPr="004C498D">
        <w:rPr>
          <w:rFonts w:ascii="Times New Roman" w:hAnsi="Times New Roman" w:cs="Times New Roman"/>
          <w:sz w:val="28"/>
          <w:szCs w:val="28"/>
        </w:rPr>
        <w:t xml:space="preserve"> року до управління фінансового контролю для перевірки та погодження скеровано кошторисну документацію на ремонтно-будівельні</w:t>
      </w:r>
      <w:r w:rsidR="009F1EBC" w:rsidRPr="004C498D">
        <w:rPr>
          <w:rFonts w:ascii="Times New Roman" w:hAnsi="Times New Roman" w:cs="Times New Roman"/>
          <w:sz w:val="28"/>
          <w:szCs w:val="28"/>
        </w:rPr>
        <w:t xml:space="preserve"> та проє</w:t>
      </w:r>
      <w:r w:rsidRPr="004C498D">
        <w:rPr>
          <w:rFonts w:ascii="Times New Roman" w:hAnsi="Times New Roman" w:cs="Times New Roman"/>
          <w:sz w:val="28"/>
          <w:szCs w:val="28"/>
        </w:rPr>
        <w:t>ктно-вишукувальні роботи, виконані для потреб міста</w:t>
      </w:r>
      <w:r w:rsidR="009F1EBC" w:rsidRPr="004C498D">
        <w:rPr>
          <w:rFonts w:ascii="Times New Roman" w:hAnsi="Times New Roman" w:cs="Times New Roman"/>
          <w:sz w:val="28"/>
          <w:szCs w:val="28"/>
        </w:rPr>
        <w:t>.</w:t>
      </w:r>
    </w:p>
    <w:p w14:paraId="7DA01D11" w14:textId="77777777" w:rsidR="009F1EBC" w:rsidRPr="002C4803" w:rsidRDefault="009F1EBC" w:rsidP="00783AB0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803">
        <w:rPr>
          <w:rFonts w:ascii="Times New Roman" w:hAnsi="Times New Roman" w:cs="Times New Roman"/>
          <w:sz w:val="28"/>
          <w:szCs w:val="28"/>
        </w:rPr>
        <w:t xml:space="preserve">Із загальної вартості ремонтно-будівельних </w:t>
      </w:r>
      <w:r w:rsidR="004B53B0" w:rsidRPr="002C4803">
        <w:rPr>
          <w:rFonts w:ascii="Times New Roman" w:hAnsi="Times New Roman" w:cs="Times New Roman"/>
          <w:sz w:val="28"/>
          <w:szCs w:val="28"/>
        </w:rPr>
        <w:t>та</w:t>
      </w:r>
      <w:r w:rsidRPr="002C4803">
        <w:rPr>
          <w:rFonts w:ascii="Times New Roman" w:hAnsi="Times New Roman" w:cs="Times New Roman"/>
          <w:sz w:val="28"/>
          <w:szCs w:val="28"/>
        </w:rPr>
        <w:t xml:space="preserve"> проєктно-</w:t>
      </w:r>
      <w:r w:rsidR="004B53B0" w:rsidRPr="002C4803">
        <w:rPr>
          <w:rFonts w:ascii="Times New Roman" w:hAnsi="Times New Roman" w:cs="Times New Roman"/>
          <w:sz w:val="28"/>
          <w:szCs w:val="28"/>
        </w:rPr>
        <w:t>вишукувальних робіт поданих на перевірку</w:t>
      </w:r>
      <w:r w:rsidRPr="002C4803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CE775D" w:rsidRPr="002C4803">
        <w:rPr>
          <w:rFonts w:ascii="Times New Roman" w:hAnsi="Times New Roman" w:cs="Times New Roman"/>
          <w:b/>
          <w:sz w:val="28"/>
          <w:szCs w:val="28"/>
        </w:rPr>
        <w:t>3868,85</w:t>
      </w:r>
      <w:r w:rsidRPr="002C4803">
        <w:rPr>
          <w:rFonts w:ascii="Times New Roman" w:hAnsi="Times New Roman" w:cs="Times New Roman"/>
          <w:sz w:val="28"/>
          <w:szCs w:val="28"/>
        </w:rPr>
        <w:t xml:space="preserve"> млн.</w:t>
      </w:r>
      <w:r w:rsidR="004B53B0" w:rsidRPr="002C4803">
        <w:rPr>
          <w:rFonts w:ascii="Times New Roman" w:hAnsi="Times New Roman" w:cs="Times New Roman"/>
          <w:sz w:val="28"/>
          <w:szCs w:val="28"/>
        </w:rPr>
        <w:t xml:space="preserve"> </w:t>
      </w:r>
      <w:r w:rsidRPr="002C4803">
        <w:rPr>
          <w:rFonts w:ascii="Times New Roman" w:hAnsi="Times New Roman" w:cs="Times New Roman"/>
          <w:sz w:val="28"/>
          <w:szCs w:val="28"/>
        </w:rPr>
        <w:t>грн, управлінням ф</w:t>
      </w:r>
      <w:r w:rsidR="004B53B0" w:rsidRPr="002C4803">
        <w:rPr>
          <w:rFonts w:ascii="Times New Roman" w:hAnsi="Times New Roman" w:cs="Times New Roman"/>
          <w:sz w:val="28"/>
          <w:szCs w:val="28"/>
        </w:rPr>
        <w:t>інансового контролю погоджено -</w:t>
      </w:r>
      <w:r w:rsidRPr="002C4803">
        <w:rPr>
          <w:rFonts w:ascii="Times New Roman" w:hAnsi="Times New Roman" w:cs="Times New Roman"/>
          <w:sz w:val="28"/>
          <w:szCs w:val="28"/>
        </w:rPr>
        <w:t xml:space="preserve"> </w:t>
      </w:r>
      <w:r w:rsidR="00CE775D" w:rsidRPr="002C4803">
        <w:rPr>
          <w:rFonts w:ascii="Times New Roman" w:hAnsi="Times New Roman" w:cs="Times New Roman"/>
          <w:b/>
          <w:sz w:val="28"/>
          <w:szCs w:val="28"/>
        </w:rPr>
        <w:t>3827,52</w:t>
      </w:r>
      <w:r w:rsidR="004B53B0" w:rsidRPr="002C4803">
        <w:rPr>
          <w:rFonts w:ascii="Times New Roman" w:hAnsi="Times New Roman" w:cs="Times New Roman"/>
          <w:sz w:val="28"/>
          <w:szCs w:val="28"/>
        </w:rPr>
        <w:t xml:space="preserve"> </w:t>
      </w:r>
      <w:r w:rsidRPr="002C4803">
        <w:rPr>
          <w:rFonts w:ascii="Times New Roman" w:hAnsi="Times New Roman" w:cs="Times New Roman"/>
          <w:sz w:val="28"/>
          <w:szCs w:val="28"/>
        </w:rPr>
        <w:t>млн.</w:t>
      </w:r>
      <w:r w:rsidR="004B53B0" w:rsidRPr="002C4803">
        <w:rPr>
          <w:rFonts w:ascii="Times New Roman" w:hAnsi="Times New Roman" w:cs="Times New Roman"/>
          <w:sz w:val="28"/>
          <w:szCs w:val="28"/>
        </w:rPr>
        <w:t xml:space="preserve"> </w:t>
      </w:r>
      <w:r w:rsidRPr="002C4803">
        <w:rPr>
          <w:rFonts w:ascii="Times New Roman" w:hAnsi="Times New Roman" w:cs="Times New Roman"/>
          <w:sz w:val="28"/>
          <w:szCs w:val="28"/>
        </w:rPr>
        <w:t>грн</w:t>
      </w:r>
      <w:r w:rsidRPr="002C48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8803ED" w14:textId="77777777" w:rsidR="00227247" w:rsidRPr="004C498D" w:rsidRDefault="009F1EBC" w:rsidP="00783AB0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803">
        <w:rPr>
          <w:rFonts w:ascii="Times New Roman" w:hAnsi="Times New Roman" w:cs="Times New Roman"/>
          <w:sz w:val="28"/>
          <w:szCs w:val="28"/>
        </w:rPr>
        <w:t xml:space="preserve">В результаті встановлено завищення її вартості на суму </w:t>
      </w:r>
      <w:r w:rsidR="00CE775D" w:rsidRPr="002C4803">
        <w:rPr>
          <w:rFonts w:ascii="Times New Roman" w:hAnsi="Times New Roman" w:cs="Times New Roman"/>
          <w:b/>
          <w:bCs/>
          <w:sz w:val="28"/>
          <w:szCs w:val="28"/>
        </w:rPr>
        <w:t>41,33</w:t>
      </w:r>
      <w:r w:rsidRPr="002C4803">
        <w:rPr>
          <w:rFonts w:ascii="Times New Roman" w:hAnsi="Times New Roman" w:cs="Times New Roman"/>
          <w:b/>
          <w:bCs/>
          <w:sz w:val="28"/>
          <w:szCs w:val="28"/>
        </w:rPr>
        <w:t xml:space="preserve"> млн.</w:t>
      </w:r>
      <w:r w:rsidR="004B53B0" w:rsidRPr="002C48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4803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Pr="002C4803">
        <w:rPr>
          <w:rFonts w:ascii="Times New Roman" w:hAnsi="Times New Roman" w:cs="Times New Roman"/>
          <w:sz w:val="28"/>
          <w:szCs w:val="28"/>
        </w:rPr>
        <w:t>, що дало можливість запобігти необґрунтованим витратам бюджетних коштів та направити зекономлені кошти на виконання додаткових робіт.</w:t>
      </w:r>
    </w:p>
    <w:p w14:paraId="370B3A32" w14:textId="77777777" w:rsidR="000B4113" w:rsidRPr="004C498D" w:rsidRDefault="009F1EBC" w:rsidP="004C498D">
      <w:pPr>
        <w:widowControl w:val="0"/>
        <w:suppressAutoHyphens/>
        <w:spacing w:before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sz w:val="28"/>
          <w:szCs w:val="28"/>
        </w:rPr>
        <w:t>Діаграма</w:t>
      </w:r>
      <w:r w:rsidR="00227247" w:rsidRPr="004C498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4C45241" w14:textId="77777777" w:rsidR="009F1EBC" w:rsidRPr="004C498D" w:rsidRDefault="009F1EBC" w:rsidP="004C498D">
      <w:pPr>
        <w:widowControl w:val="0"/>
        <w:suppressAutoHyphens/>
        <w:spacing w:before="12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4C498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8FD1077" wp14:editId="1F6D9720">
            <wp:extent cx="6029325" cy="3457575"/>
            <wp:effectExtent l="0" t="0" r="9525" b="9525"/>
            <wp:docPr id="19" name="Діагра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945A09" w14:textId="77777777" w:rsidR="009F1EBC" w:rsidRPr="004C498D" w:rsidRDefault="009F1EBC" w:rsidP="004C498D">
      <w:pPr>
        <w:widowControl w:val="0"/>
        <w:suppressAutoHyphens/>
        <w:spacing w:before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84EDD9D" w14:textId="77777777" w:rsidR="00586C7A" w:rsidRPr="002C4803" w:rsidRDefault="00586C7A" w:rsidP="004C498D">
      <w:pPr>
        <w:widowControl w:val="0"/>
        <w:suppressAutoHyphens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803">
        <w:rPr>
          <w:rFonts w:ascii="Times New Roman" w:hAnsi="Times New Roman" w:cs="Times New Roman"/>
          <w:sz w:val="28"/>
          <w:szCs w:val="28"/>
        </w:rPr>
        <w:t>Протягом 202</w:t>
      </w:r>
      <w:r w:rsidR="00CE775D" w:rsidRPr="002C4803">
        <w:rPr>
          <w:rFonts w:ascii="Times New Roman" w:hAnsi="Times New Roman" w:cs="Times New Roman"/>
          <w:sz w:val="28"/>
          <w:szCs w:val="28"/>
        </w:rPr>
        <w:t>5</w:t>
      </w:r>
      <w:r w:rsidRPr="002C4803">
        <w:rPr>
          <w:rFonts w:ascii="Times New Roman" w:hAnsi="Times New Roman" w:cs="Times New Roman"/>
          <w:sz w:val="28"/>
          <w:szCs w:val="28"/>
        </w:rPr>
        <w:t xml:space="preserve"> року на виконання рішення виконавчого комітету Львівської міської ради </w:t>
      </w:r>
      <w:r w:rsidR="006D00B1" w:rsidRPr="002C4803">
        <w:rPr>
          <w:rFonts w:ascii="Times New Roman" w:hAnsi="Times New Roman" w:cs="Times New Roman"/>
          <w:sz w:val="28"/>
          <w:szCs w:val="28"/>
        </w:rPr>
        <w:t>«</w:t>
      </w:r>
      <w:r w:rsidRPr="002C4803">
        <w:rPr>
          <w:rFonts w:ascii="Times New Roman" w:hAnsi="Times New Roman" w:cs="Times New Roman"/>
          <w:sz w:val="28"/>
          <w:szCs w:val="28"/>
        </w:rPr>
        <w:t>Про затвердження Положення про комісію з визначення готовності (часткової готовності) до експлуатації об’єктів, які фінансуються за рахунок видатків бюджету розвитку міського бюджету м. Львова, та форми протоколу виїзного засідання комісії з визначення готовності до експлуатації об’єктів, які фінансуються за рахунок видатків бюджету розвитку міського бюджету м. Львова</w:t>
      </w:r>
      <w:r w:rsidR="006D00B1" w:rsidRPr="002C4803">
        <w:rPr>
          <w:rFonts w:ascii="Times New Roman" w:hAnsi="Times New Roman" w:cs="Times New Roman"/>
          <w:sz w:val="28"/>
          <w:szCs w:val="28"/>
        </w:rPr>
        <w:t>»</w:t>
      </w:r>
      <w:r w:rsidRPr="002C4803">
        <w:rPr>
          <w:rFonts w:ascii="Times New Roman" w:hAnsi="Times New Roman" w:cs="Times New Roman"/>
          <w:sz w:val="28"/>
          <w:szCs w:val="28"/>
        </w:rPr>
        <w:t xml:space="preserve"> від 29.12.2017 №1191, працівниками управління фінансового контролю здійснено </w:t>
      </w:r>
      <w:r w:rsidR="00832A08">
        <w:rPr>
          <w:rFonts w:ascii="Times New Roman" w:hAnsi="Times New Roman" w:cs="Times New Roman"/>
          <w:sz w:val="28"/>
          <w:szCs w:val="28"/>
        </w:rPr>
        <w:t>332</w:t>
      </w:r>
      <w:r w:rsidRPr="002C4803">
        <w:rPr>
          <w:rFonts w:ascii="Times New Roman" w:hAnsi="Times New Roman" w:cs="Times New Roman"/>
          <w:sz w:val="28"/>
          <w:szCs w:val="28"/>
        </w:rPr>
        <w:t xml:space="preserve"> виїздів</w:t>
      </w:r>
      <w:r w:rsidR="00E9014A" w:rsidRPr="002C4803">
        <w:rPr>
          <w:rFonts w:ascii="Times New Roman" w:hAnsi="Times New Roman" w:cs="Times New Roman"/>
          <w:sz w:val="28"/>
          <w:szCs w:val="28"/>
        </w:rPr>
        <w:t xml:space="preserve"> (</w:t>
      </w:r>
      <w:r w:rsidR="00203DA5">
        <w:rPr>
          <w:rFonts w:ascii="Times New Roman" w:hAnsi="Times New Roman" w:cs="Times New Roman"/>
          <w:sz w:val="28"/>
          <w:szCs w:val="28"/>
        </w:rPr>
        <w:t>366</w:t>
      </w:r>
      <w:r w:rsidR="00E9014A" w:rsidRPr="002C4803">
        <w:rPr>
          <w:rFonts w:ascii="Times New Roman" w:hAnsi="Times New Roman" w:cs="Times New Roman"/>
          <w:sz w:val="28"/>
          <w:szCs w:val="28"/>
        </w:rPr>
        <w:t xml:space="preserve"> звернень)</w:t>
      </w:r>
      <w:r w:rsidRPr="002C4803">
        <w:rPr>
          <w:rFonts w:ascii="Times New Roman" w:hAnsi="Times New Roman" w:cs="Times New Roman"/>
          <w:sz w:val="28"/>
          <w:szCs w:val="28"/>
        </w:rPr>
        <w:t xml:space="preserve"> у складі комісій з визначення готовності об’єктів до експлуатації, замовниками яких виступають виконавчі органи та комунальні підприємства м. Львова.</w:t>
      </w:r>
    </w:p>
    <w:p w14:paraId="3498C1C7" w14:textId="77777777" w:rsidR="00126BA7" w:rsidRDefault="00126BA7" w:rsidP="004C498D">
      <w:pPr>
        <w:widowControl w:val="0"/>
        <w:suppressAutoHyphens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4EBECA" w14:textId="77777777" w:rsidR="00CE775D" w:rsidRDefault="00CE775D" w:rsidP="004C498D">
      <w:pPr>
        <w:widowControl w:val="0"/>
        <w:suppressAutoHyphens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FA40DE" w14:textId="77777777" w:rsidR="00CE775D" w:rsidRPr="004C498D" w:rsidRDefault="00CE775D" w:rsidP="004C498D">
      <w:pPr>
        <w:widowControl w:val="0"/>
        <w:suppressAutoHyphens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977DA8" w14:textId="77777777" w:rsidR="000E2CB9" w:rsidRPr="004C498D" w:rsidRDefault="00CE775D" w:rsidP="004C498D">
      <w:pPr>
        <w:widowControl w:val="0"/>
        <w:suppressAutoHyphens/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Начальниця</w:t>
      </w:r>
      <w:r w:rsidR="00783AB0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783AB0">
        <w:rPr>
          <w:rFonts w:ascii="Times New Roman" w:hAnsi="Times New Roman" w:cs="Times New Roman"/>
          <w:sz w:val="28"/>
          <w:szCs w:val="28"/>
        </w:rPr>
        <w:tab/>
      </w:r>
      <w:r w:rsidR="00783AB0">
        <w:rPr>
          <w:rFonts w:ascii="Times New Roman" w:hAnsi="Times New Roman" w:cs="Times New Roman"/>
          <w:sz w:val="28"/>
          <w:szCs w:val="28"/>
        </w:rPr>
        <w:tab/>
      </w:r>
      <w:r w:rsidR="00783AB0">
        <w:rPr>
          <w:rFonts w:ascii="Times New Roman" w:hAnsi="Times New Roman" w:cs="Times New Roman"/>
          <w:sz w:val="28"/>
          <w:szCs w:val="28"/>
        </w:rPr>
        <w:tab/>
      </w:r>
      <w:r w:rsidR="00783AB0">
        <w:rPr>
          <w:rFonts w:ascii="Times New Roman" w:hAnsi="Times New Roman" w:cs="Times New Roman"/>
          <w:sz w:val="28"/>
          <w:szCs w:val="28"/>
        </w:rPr>
        <w:tab/>
      </w:r>
      <w:r w:rsidR="00F10D8E" w:rsidRPr="004C498D">
        <w:rPr>
          <w:rFonts w:ascii="Times New Roman" w:hAnsi="Times New Roman" w:cs="Times New Roman"/>
          <w:sz w:val="28"/>
          <w:szCs w:val="28"/>
        </w:rPr>
        <w:t xml:space="preserve">  </w:t>
      </w:r>
      <w:r w:rsidR="007E7E0A" w:rsidRPr="004C498D">
        <w:rPr>
          <w:rFonts w:ascii="Times New Roman" w:hAnsi="Times New Roman" w:cs="Times New Roman"/>
          <w:sz w:val="28"/>
          <w:szCs w:val="28"/>
        </w:rPr>
        <w:t xml:space="preserve">  </w:t>
      </w:r>
      <w:r w:rsidR="00126BA7" w:rsidRPr="004C498D">
        <w:rPr>
          <w:rFonts w:ascii="Times New Roman" w:hAnsi="Times New Roman" w:cs="Times New Roman"/>
          <w:sz w:val="28"/>
          <w:szCs w:val="28"/>
        </w:rPr>
        <w:t xml:space="preserve">  </w:t>
      </w:r>
      <w:r w:rsidR="00A12BBB">
        <w:rPr>
          <w:rFonts w:ascii="Times New Roman" w:hAnsi="Times New Roman" w:cs="Times New Roman"/>
          <w:sz w:val="28"/>
          <w:szCs w:val="28"/>
        </w:rPr>
        <w:t>Ірина ПЕЛІКАН</w:t>
      </w:r>
    </w:p>
    <w:sectPr w:rsidR="000E2CB9" w:rsidRPr="004C498D" w:rsidSect="00350B78">
      <w:headerReference w:type="default" r:id="rId10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393A" w14:textId="77777777" w:rsidR="00A61689" w:rsidRDefault="00A61689" w:rsidP="00AB1A1F">
      <w:pPr>
        <w:spacing w:line="240" w:lineRule="auto"/>
      </w:pPr>
      <w:r>
        <w:separator/>
      </w:r>
    </w:p>
  </w:endnote>
  <w:endnote w:type="continuationSeparator" w:id="0">
    <w:p w14:paraId="7D0956AA" w14:textId="77777777" w:rsidR="00A61689" w:rsidRDefault="00A61689" w:rsidP="00AB1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847D" w14:textId="77777777" w:rsidR="00A61689" w:rsidRDefault="00A61689" w:rsidP="00AB1A1F">
      <w:pPr>
        <w:spacing w:line="240" w:lineRule="auto"/>
      </w:pPr>
      <w:r>
        <w:separator/>
      </w:r>
    </w:p>
  </w:footnote>
  <w:footnote w:type="continuationSeparator" w:id="0">
    <w:p w14:paraId="2D217887" w14:textId="77777777" w:rsidR="00A61689" w:rsidRDefault="00A61689" w:rsidP="00AB1A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881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83D1A44" w14:textId="77777777" w:rsidR="00AB1A1F" w:rsidRPr="00AB1A1F" w:rsidRDefault="00AB1A1F">
        <w:pPr>
          <w:pStyle w:val="a3"/>
          <w:jc w:val="center"/>
          <w:rPr>
            <w:sz w:val="20"/>
            <w:szCs w:val="20"/>
          </w:rPr>
        </w:pPr>
        <w:r w:rsidRPr="00AB1A1F">
          <w:rPr>
            <w:sz w:val="20"/>
            <w:szCs w:val="20"/>
          </w:rPr>
          <w:fldChar w:fldCharType="begin"/>
        </w:r>
        <w:r w:rsidRPr="00AB1A1F">
          <w:rPr>
            <w:sz w:val="20"/>
            <w:szCs w:val="20"/>
          </w:rPr>
          <w:instrText>PAGE   \* MERGEFORMAT</w:instrText>
        </w:r>
        <w:r w:rsidRPr="00AB1A1F">
          <w:rPr>
            <w:sz w:val="20"/>
            <w:szCs w:val="20"/>
          </w:rPr>
          <w:fldChar w:fldCharType="separate"/>
        </w:r>
        <w:r w:rsidR="00203DA5">
          <w:rPr>
            <w:noProof/>
            <w:sz w:val="20"/>
            <w:szCs w:val="20"/>
          </w:rPr>
          <w:t>4</w:t>
        </w:r>
        <w:r w:rsidRPr="00AB1A1F">
          <w:rPr>
            <w:sz w:val="20"/>
            <w:szCs w:val="20"/>
          </w:rPr>
          <w:fldChar w:fldCharType="end"/>
        </w:r>
      </w:p>
    </w:sdtContent>
  </w:sdt>
  <w:p w14:paraId="4B257DAA" w14:textId="77777777" w:rsidR="00AB1A1F" w:rsidRDefault="00AB1A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542"/>
    <w:multiLevelType w:val="hybridMultilevel"/>
    <w:tmpl w:val="A7CCB14A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E6F70DF"/>
    <w:multiLevelType w:val="hybridMultilevel"/>
    <w:tmpl w:val="110EB5E2"/>
    <w:lvl w:ilvl="0" w:tplc="E482FFF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69809A7"/>
    <w:multiLevelType w:val="hybridMultilevel"/>
    <w:tmpl w:val="F2B000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37B7"/>
    <w:multiLevelType w:val="hybridMultilevel"/>
    <w:tmpl w:val="34DE7A2A"/>
    <w:lvl w:ilvl="0" w:tplc="08AAAB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0224">
    <w:abstractNumId w:val="3"/>
  </w:num>
  <w:num w:numId="2" w16cid:durableId="878787822">
    <w:abstractNumId w:val="2"/>
  </w:num>
  <w:num w:numId="3" w16cid:durableId="316032271">
    <w:abstractNumId w:val="1"/>
  </w:num>
  <w:num w:numId="4" w16cid:durableId="72706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D3"/>
    <w:rsid w:val="0000193B"/>
    <w:rsid w:val="00006376"/>
    <w:rsid w:val="000238B9"/>
    <w:rsid w:val="000340B3"/>
    <w:rsid w:val="00036CC9"/>
    <w:rsid w:val="00041A4C"/>
    <w:rsid w:val="00042429"/>
    <w:rsid w:val="000469E7"/>
    <w:rsid w:val="000630A5"/>
    <w:rsid w:val="00065EA4"/>
    <w:rsid w:val="00067F22"/>
    <w:rsid w:val="0007140B"/>
    <w:rsid w:val="00073E90"/>
    <w:rsid w:val="00073F95"/>
    <w:rsid w:val="00074ED1"/>
    <w:rsid w:val="00075D34"/>
    <w:rsid w:val="000771EB"/>
    <w:rsid w:val="00084084"/>
    <w:rsid w:val="00091CE8"/>
    <w:rsid w:val="000A18EE"/>
    <w:rsid w:val="000B4113"/>
    <w:rsid w:val="000B4A0B"/>
    <w:rsid w:val="000C42D2"/>
    <w:rsid w:val="000C7CB4"/>
    <w:rsid w:val="000C7F58"/>
    <w:rsid w:val="000D106A"/>
    <w:rsid w:val="000D3734"/>
    <w:rsid w:val="000D5AB1"/>
    <w:rsid w:val="000E2CB9"/>
    <w:rsid w:val="000F0CC7"/>
    <w:rsid w:val="000F2075"/>
    <w:rsid w:val="001072B1"/>
    <w:rsid w:val="001101B1"/>
    <w:rsid w:val="00110A09"/>
    <w:rsid w:val="00115478"/>
    <w:rsid w:val="00116EEE"/>
    <w:rsid w:val="00117618"/>
    <w:rsid w:val="00121BF1"/>
    <w:rsid w:val="00125259"/>
    <w:rsid w:val="00125436"/>
    <w:rsid w:val="00126BA7"/>
    <w:rsid w:val="00146C49"/>
    <w:rsid w:val="001512D3"/>
    <w:rsid w:val="001613A7"/>
    <w:rsid w:val="0017344D"/>
    <w:rsid w:val="00182B7D"/>
    <w:rsid w:val="001856E2"/>
    <w:rsid w:val="00185B9F"/>
    <w:rsid w:val="001904D0"/>
    <w:rsid w:val="00191E91"/>
    <w:rsid w:val="001974E1"/>
    <w:rsid w:val="001A3849"/>
    <w:rsid w:val="001A4710"/>
    <w:rsid w:val="001A6880"/>
    <w:rsid w:val="001A748B"/>
    <w:rsid w:val="001F2AEF"/>
    <w:rsid w:val="00203DA5"/>
    <w:rsid w:val="00210BCD"/>
    <w:rsid w:val="00221CF3"/>
    <w:rsid w:val="0022297D"/>
    <w:rsid w:val="00227247"/>
    <w:rsid w:val="0024328E"/>
    <w:rsid w:val="0024669C"/>
    <w:rsid w:val="00250651"/>
    <w:rsid w:val="002552B6"/>
    <w:rsid w:val="00255FF3"/>
    <w:rsid w:val="0025793C"/>
    <w:rsid w:val="00263202"/>
    <w:rsid w:val="00267060"/>
    <w:rsid w:val="002824AE"/>
    <w:rsid w:val="00297032"/>
    <w:rsid w:val="002A6EAA"/>
    <w:rsid w:val="002B1924"/>
    <w:rsid w:val="002B3C3F"/>
    <w:rsid w:val="002B3CFD"/>
    <w:rsid w:val="002B6C6B"/>
    <w:rsid w:val="002C0E34"/>
    <w:rsid w:val="002C1C70"/>
    <w:rsid w:val="002C4803"/>
    <w:rsid w:val="002C6AB8"/>
    <w:rsid w:val="002C75CD"/>
    <w:rsid w:val="002D3D9E"/>
    <w:rsid w:val="002D54EC"/>
    <w:rsid w:val="002E0B1F"/>
    <w:rsid w:val="002E72CE"/>
    <w:rsid w:val="00300A20"/>
    <w:rsid w:val="00304854"/>
    <w:rsid w:val="003119E3"/>
    <w:rsid w:val="00314EDF"/>
    <w:rsid w:val="00346B67"/>
    <w:rsid w:val="00350B78"/>
    <w:rsid w:val="00350DA3"/>
    <w:rsid w:val="00371B79"/>
    <w:rsid w:val="00371C69"/>
    <w:rsid w:val="0037474C"/>
    <w:rsid w:val="00376EDF"/>
    <w:rsid w:val="00381289"/>
    <w:rsid w:val="00392746"/>
    <w:rsid w:val="003A3363"/>
    <w:rsid w:val="003A4435"/>
    <w:rsid w:val="003B1F27"/>
    <w:rsid w:val="003B3DAE"/>
    <w:rsid w:val="003B4950"/>
    <w:rsid w:val="003C3841"/>
    <w:rsid w:val="003C5DBA"/>
    <w:rsid w:val="003D0CB0"/>
    <w:rsid w:val="003D32A7"/>
    <w:rsid w:val="003D3F0B"/>
    <w:rsid w:val="003E7B73"/>
    <w:rsid w:val="003E7C5B"/>
    <w:rsid w:val="003F0876"/>
    <w:rsid w:val="003F36A9"/>
    <w:rsid w:val="0040241C"/>
    <w:rsid w:val="00412B3A"/>
    <w:rsid w:val="004319C8"/>
    <w:rsid w:val="00432A22"/>
    <w:rsid w:val="00434531"/>
    <w:rsid w:val="00435BF8"/>
    <w:rsid w:val="0046710A"/>
    <w:rsid w:val="004713ED"/>
    <w:rsid w:val="00485C84"/>
    <w:rsid w:val="00487B23"/>
    <w:rsid w:val="00492A99"/>
    <w:rsid w:val="004A12AA"/>
    <w:rsid w:val="004A5EAC"/>
    <w:rsid w:val="004B34AF"/>
    <w:rsid w:val="004B53B0"/>
    <w:rsid w:val="004C498D"/>
    <w:rsid w:val="004D5AA5"/>
    <w:rsid w:val="004D64A5"/>
    <w:rsid w:val="004E3978"/>
    <w:rsid w:val="004F2589"/>
    <w:rsid w:val="004F3771"/>
    <w:rsid w:val="004F6247"/>
    <w:rsid w:val="004F76EA"/>
    <w:rsid w:val="005004E7"/>
    <w:rsid w:val="00501BCF"/>
    <w:rsid w:val="005066E5"/>
    <w:rsid w:val="005076A6"/>
    <w:rsid w:val="005132FC"/>
    <w:rsid w:val="00535A64"/>
    <w:rsid w:val="00540B2E"/>
    <w:rsid w:val="005651D5"/>
    <w:rsid w:val="0056782C"/>
    <w:rsid w:val="00571F32"/>
    <w:rsid w:val="00575998"/>
    <w:rsid w:val="0057698A"/>
    <w:rsid w:val="00580175"/>
    <w:rsid w:val="00580862"/>
    <w:rsid w:val="00580EFC"/>
    <w:rsid w:val="00585D21"/>
    <w:rsid w:val="00586C7A"/>
    <w:rsid w:val="005877E0"/>
    <w:rsid w:val="00596420"/>
    <w:rsid w:val="005A63EF"/>
    <w:rsid w:val="005A77E9"/>
    <w:rsid w:val="005A7DE9"/>
    <w:rsid w:val="005B07CB"/>
    <w:rsid w:val="005B1681"/>
    <w:rsid w:val="005B4952"/>
    <w:rsid w:val="005C5A74"/>
    <w:rsid w:val="005C7407"/>
    <w:rsid w:val="005C7667"/>
    <w:rsid w:val="005F1022"/>
    <w:rsid w:val="005F1ED0"/>
    <w:rsid w:val="005F21BA"/>
    <w:rsid w:val="005F4479"/>
    <w:rsid w:val="006026D4"/>
    <w:rsid w:val="00620F5A"/>
    <w:rsid w:val="00627EE1"/>
    <w:rsid w:val="00653034"/>
    <w:rsid w:val="00654EC0"/>
    <w:rsid w:val="0069515B"/>
    <w:rsid w:val="00695F8A"/>
    <w:rsid w:val="006A03D1"/>
    <w:rsid w:val="006A4DAD"/>
    <w:rsid w:val="006B1CC0"/>
    <w:rsid w:val="006C7238"/>
    <w:rsid w:val="006D00B1"/>
    <w:rsid w:val="006E06EB"/>
    <w:rsid w:val="006E54B2"/>
    <w:rsid w:val="007018E7"/>
    <w:rsid w:val="00717CF1"/>
    <w:rsid w:val="00717F8B"/>
    <w:rsid w:val="007225BC"/>
    <w:rsid w:val="007250FF"/>
    <w:rsid w:val="007274C0"/>
    <w:rsid w:val="007306A8"/>
    <w:rsid w:val="00730A85"/>
    <w:rsid w:val="00732712"/>
    <w:rsid w:val="007359C2"/>
    <w:rsid w:val="00752E4D"/>
    <w:rsid w:val="00754C90"/>
    <w:rsid w:val="00762DAB"/>
    <w:rsid w:val="00767EFF"/>
    <w:rsid w:val="00771B85"/>
    <w:rsid w:val="00776587"/>
    <w:rsid w:val="00783AB0"/>
    <w:rsid w:val="00791BF3"/>
    <w:rsid w:val="007920AD"/>
    <w:rsid w:val="007942CF"/>
    <w:rsid w:val="00794D12"/>
    <w:rsid w:val="007962F1"/>
    <w:rsid w:val="007A4138"/>
    <w:rsid w:val="007B3BD0"/>
    <w:rsid w:val="007B47C0"/>
    <w:rsid w:val="007C025F"/>
    <w:rsid w:val="007D278F"/>
    <w:rsid w:val="007D5FA4"/>
    <w:rsid w:val="007E7E0A"/>
    <w:rsid w:val="007F002D"/>
    <w:rsid w:val="007F339D"/>
    <w:rsid w:val="007F531D"/>
    <w:rsid w:val="008005F9"/>
    <w:rsid w:val="00812880"/>
    <w:rsid w:val="00815933"/>
    <w:rsid w:val="00832A08"/>
    <w:rsid w:val="00836E94"/>
    <w:rsid w:val="00852CDB"/>
    <w:rsid w:val="008532DC"/>
    <w:rsid w:val="00863030"/>
    <w:rsid w:val="0086383D"/>
    <w:rsid w:val="0087302F"/>
    <w:rsid w:val="00877423"/>
    <w:rsid w:val="00882995"/>
    <w:rsid w:val="00883ABD"/>
    <w:rsid w:val="00883B19"/>
    <w:rsid w:val="00897808"/>
    <w:rsid w:val="008C4679"/>
    <w:rsid w:val="008D0DF6"/>
    <w:rsid w:val="008D7723"/>
    <w:rsid w:val="008E08B5"/>
    <w:rsid w:val="008E5A2C"/>
    <w:rsid w:val="008F49D6"/>
    <w:rsid w:val="008F69B9"/>
    <w:rsid w:val="0090650A"/>
    <w:rsid w:val="00926B5B"/>
    <w:rsid w:val="00932197"/>
    <w:rsid w:val="009447CD"/>
    <w:rsid w:val="009514B6"/>
    <w:rsid w:val="00952773"/>
    <w:rsid w:val="00952C03"/>
    <w:rsid w:val="009545D2"/>
    <w:rsid w:val="00961A07"/>
    <w:rsid w:val="00966186"/>
    <w:rsid w:val="00966D4D"/>
    <w:rsid w:val="00970688"/>
    <w:rsid w:val="009730FF"/>
    <w:rsid w:val="00973338"/>
    <w:rsid w:val="0098403E"/>
    <w:rsid w:val="009901F4"/>
    <w:rsid w:val="00993802"/>
    <w:rsid w:val="009A1D3F"/>
    <w:rsid w:val="009A2F25"/>
    <w:rsid w:val="009A45A2"/>
    <w:rsid w:val="009B38CD"/>
    <w:rsid w:val="009C29BF"/>
    <w:rsid w:val="009D1736"/>
    <w:rsid w:val="009D60FE"/>
    <w:rsid w:val="009E626F"/>
    <w:rsid w:val="009E62DE"/>
    <w:rsid w:val="009E7613"/>
    <w:rsid w:val="009F1A64"/>
    <w:rsid w:val="009F1EBC"/>
    <w:rsid w:val="009F28DB"/>
    <w:rsid w:val="009F539B"/>
    <w:rsid w:val="00A11B26"/>
    <w:rsid w:val="00A12BBB"/>
    <w:rsid w:val="00A16BE8"/>
    <w:rsid w:val="00A3191E"/>
    <w:rsid w:val="00A354D6"/>
    <w:rsid w:val="00A40ED7"/>
    <w:rsid w:val="00A45853"/>
    <w:rsid w:val="00A4775F"/>
    <w:rsid w:val="00A5415E"/>
    <w:rsid w:val="00A61689"/>
    <w:rsid w:val="00A70497"/>
    <w:rsid w:val="00A72CC6"/>
    <w:rsid w:val="00A754C6"/>
    <w:rsid w:val="00A94349"/>
    <w:rsid w:val="00A95A88"/>
    <w:rsid w:val="00A967B2"/>
    <w:rsid w:val="00A97668"/>
    <w:rsid w:val="00AA4B39"/>
    <w:rsid w:val="00AA52A0"/>
    <w:rsid w:val="00AA7F1D"/>
    <w:rsid w:val="00AB1A1F"/>
    <w:rsid w:val="00AC2148"/>
    <w:rsid w:val="00AD6BCF"/>
    <w:rsid w:val="00AE16B0"/>
    <w:rsid w:val="00AF417A"/>
    <w:rsid w:val="00AF4E24"/>
    <w:rsid w:val="00AF57F6"/>
    <w:rsid w:val="00B12016"/>
    <w:rsid w:val="00B17792"/>
    <w:rsid w:val="00B209B5"/>
    <w:rsid w:val="00B229B4"/>
    <w:rsid w:val="00B348B6"/>
    <w:rsid w:val="00B3578E"/>
    <w:rsid w:val="00B4040D"/>
    <w:rsid w:val="00B47376"/>
    <w:rsid w:val="00B5723E"/>
    <w:rsid w:val="00B661E9"/>
    <w:rsid w:val="00B72306"/>
    <w:rsid w:val="00B8536B"/>
    <w:rsid w:val="00B85474"/>
    <w:rsid w:val="00B86C86"/>
    <w:rsid w:val="00B9212E"/>
    <w:rsid w:val="00B97AA2"/>
    <w:rsid w:val="00B97F9B"/>
    <w:rsid w:val="00BA5799"/>
    <w:rsid w:val="00BB60DE"/>
    <w:rsid w:val="00BC1480"/>
    <w:rsid w:val="00BC5D4D"/>
    <w:rsid w:val="00BC74EA"/>
    <w:rsid w:val="00BD43E1"/>
    <w:rsid w:val="00BE0EB1"/>
    <w:rsid w:val="00BE72FC"/>
    <w:rsid w:val="00BF04CE"/>
    <w:rsid w:val="00BF2462"/>
    <w:rsid w:val="00BF4DBA"/>
    <w:rsid w:val="00BF536A"/>
    <w:rsid w:val="00C03D28"/>
    <w:rsid w:val="00C04F77"/>
    <w:rsid w:val="00C07077"/>
    <w:rsid w:val="00C16A34"/>
    <w:rsid w:val="00C17F26"/>
    <w:rsid w:val="00C31BA8"/>
    <w:rsid w:val="00C505D9"/>
    <w:rsid w:val="00C5749F"/>
    <w:rsid w:val="00C6689E"/>
    <w:rsid w:val="00C7094A"/>
    <w:rsid w:val="00C81773"/>
    <w:rsid w:val="00C851A3"/>
    <w:rsid w:val="00CA1E0C"/>
    <w:rsid w:val="00CA63FC"/>
    <w:rsid w:val="00CD3873"/>
    <w:rsid w:val="00CE50D7"/>
    <w:rsid w:val="00CE699A"/>
    <w:rsid w:val="00CE6BC9"/>
    <w:rsid w:val="00CE775D"/>
    <w:rsid w:val="00CF15C9"/>
    <w:rsid w:val="00CF1990"/>
    <w:rsid w:val="00CF2CAB"/>
    <w:rsid w:val="00CF3693"/>
    <w:rsid w:val="00CF4341"/>
    <w:rsid w:val="00CF590D"/>
    <w:rsid w:val="00CF6479"/>
    <w:rsid w:val="00CF64BE"/>
    <w:rsid w:val="00D03948"/>
    <w:rsid w:val="00D117D0"/>
    <w:rsid w:val="00D32D26"/>
    <w:rsid w:val="00D336ED"/>
    <w:rsid w:val="00D35CB0"/>
    <w:rsid w:val="00D35F43"/>
    <w:rsid w:val="00D40291"/>
    <w:rsid w:val="00D430ED"/>
    <w:rsid w:val="00D46F28"/>
    <w:rsid w:val="00D5115F"/>
    <w:rsid w:val="00D55BE0"/>
    <w:rsid w:val="00D651C2"/>
    <w:rsid w:val="00D66391"/>
    <w:rsid w:val="00D77679"/>
    <w:rsid w:val="00D911D5"/>
    <w:rsid w:val="00D91541"/>
    <w:rsid w:val="00D94773"/>
    <w:rsid w:val="00DA04BC"/>
    <w:rsid w:val="00DA1806"/>
    <w:rsid w:val="00DB04E7"/>
    <w:rsid w:val="00DB6FD5"/>
    <w:rsid w:val="00DC281E"/>
    <w:rsid w:val="00DC7549"/>
    <w:rsid w:val="00DD34FB"/>
    <w:rsid w:val="00DD551E"/>
    <w:rsid w:val="00DF18ED"/>
    <w:rsid w:val="00DF24A0"/>
    <w:rsid w:val="00E03751"/>
    <w:rsid w:val="00E20A79"/>
    <w:rsid w:val="00E304B1"/>
    <w:rsid w:val="00E31468"/>
    <w:rsid w:val="00E407C0"/>
    <w:rsid w:val="00E42B72"/>
    <w:rsid w:val="00E56BC4"/>
    <w:rsid w:val="00E63900"/>
    <w:rsid w:val="00E65591"/>
    <w:rsid w:val="00E662C2"/>
    <w:rsid w:val="00E72E60"/>
    <w:rsid w:val="00E73A09"/>
    <w:rsid w:val="00E813A7"/>
    <w:rsid w:val="00E81E2A"/>
    <w:rsid w:val="00E9014A"/>
    <w:rsid w:val="00EA5234"/>
    <w:rsid w:val="00EA6F93"/>
    <w:rsid w:val="00EB5A07"/>
    <w:rsid w:val="00EC0093"/>
    <w:rsid w:val="00EC0E40"/>
    <w:rsid w:val="00EC1604"/>
    <w:rsid w:val="00EC4D03"/>
    <w:rsid w:val="00ED4B3A"/>
    <w:rsid w:val="00EE0F0F"/>
    <w:rsid w:val="00EE5A2F"/>
    <w:rsid w:val="00EF17EC"/>
    <w:rsid w:val="00EF3A05"/>
    <w:rsid w:val="00F00487"/>
    <w:rsid w:val="00F10D8E"/>
    <w:rsid w:val="00F417C6"/>
    <w:rsid w:val="00F42BA6"/>
    <w:rsid w:val="00F5496C"/>
    <w:rsid w:val="00F67DFB"/>
    <w:rsid w:val="00F70764"/>
    <w:rsid w:val="00F73F2E"/>
    <w:rsid w:val="00F77910"/>
    <w:rsid w:val="00F86146"/>
    <w:rsid w:val="00F92FD8"/>
    <w:rsid w:val="00F966FD"/>
    <w:rsid w:val="00F967E1"/>
    <w:rsid w:val="00FA7E5E"/>
    <w:rsid w:val="00FB51E8"/>
    <w:rsid w:val="00FB7F97"/>
    <w:rsid w:val="00FC0007"/>
    <w:rsid w:val="00FD1F66"/>
    <w:rsid w:val="00FD3BF6"/>
    <w:rsid w:val="00FD5354"/>
    <w:rsid w:val="00FE495F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6F39"/>
  <w15:docId w15:val="{6214DFA8-11A3-4650-8E13-E83D2F57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uk-UA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A1F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1A1F"/>
  </w:style>
  <w:style w:type="paragraph" w:styleId="a5">
    <w:name w:val="footer"/>
    <w:basedOn w:val="a"/>
    <w:link w:val="a6"/>
    <w:uiPriority w:val="99"/>
    <w:unhideWhenUsed/>
    <w:rsid w:val="00AB1A1F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1A1F"/>
  </w:style>
  <w:style w:type="paragraph" w:styleId="a7">
    <w:name w:val="Balloon Text"/>
    <w:basedOn w:val="a"/>
    <w:link w:val="a8"/>
    <w:uiPriority w:val="99"/>
    <w:semiHidden/>
    <w:unhideWhenUsed/>
    <w:rsid w:val="00717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17CF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7306A8"/>
    <w:pPr>
      <w:widowControl w:val="0"/>
      <w:suppressAutoHyphens/>
      <w:spacing w:after="120" w:line="240" w:lineRule="auto"/>
      <w:jc w:val="left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aa">
    <w:name w:val="Основний текст Знак"/>
    <w:basedOn w:val="a0"/>
    <w:link w:val="a9"/>
    <w:uiPriority w:val="99"/>
    <w:rsid w:val="007306A8"/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7E7E0A"/>
    <w:pPr>
      <w:ind w:left="720"/>
      <w:contextualSpacing/>
    </w:pPr>
  </w:style>
  <w:style w:type="paragraph" w:customStyle="1" w:styleId="2">
    <w:name w:val="Абзац списку2"/>
    <w:basedOn w:val="a"/>
    <w:qFormat/>
    <w:rsid w:val="00435BF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EEF-4C22-BFC0-5284D5CE41DC}"/>
              </c:ext>
            </c:extLst>
          </c:dPt>
          <c:dPt>
            <c:idx val="1"/>
            <c:bubble3D val="0"/>
            <c:spPr>
              <a:gradFill flip="none" rotWithShape="1">
                <a:gsLst>
                  <a:gs pos="0">
                    <a:schemeClr val="accent2">
                      <a:lumMod val="75000"/>
                      <a:shade val="30000"/>
                      <a:satMod val="115000"/>
                    </a:schemeClr>
                  </a:gs>
                  <a:gs pos="50000">
                    <a:schemeClr val="accent2">
                      <a:lumMod val="75000"/>
                      <a:shade val="67500"/>
                      <a:satMod val="115000"/>
                    </a:schemeClr>
                  </a:gs>
                  <a:gs pos="100000">
                    <a:schemeClr val="accent2">
                      <a:lumMod val="75000"/>
                      <a:shade val="100000"/>
                      <a:satMod val="115000"/>
                    </a:schemeClr>
                  </a:gs>
                </a:gsLst>
                <a:lin ang="18900000" scaled="1"/>
                <a:tileRect/>
              </a:gra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EEF-4C22-BFC0-5284D5CE41DC}"/>
              </c:ext>
            </c:extLst>
          </c:dPt>
          <c:dPt>
            <c:idx val="2"/>
            <c:bubble3D val="0"/>
            <c:spPr>
              <a:gradFill flip="none" rotWithShape="1">
                <a:gsLst>
                  <a:gs pos="0">
                    <a:schemeClr val="accent4">
                      <a:lumMod val="60000"/>
                      <a:lumOff val="40000"/>
                      <a:shade val="30000"/>
                      <a:satMod val="115000"/>
                    </a:schemeClr>
                  </a:gs>
                  <a:gs pos="50000">
                    <a:schemeClr val="accent4">
                      <a:lumMod val="60000"/>
                      <a:lumOff val="40000"/>
                      <a:shade val="67500"/>
                      <a:satMod val="115000"/>
                    </a:schemeClr>
                  </a:gs>
                  <a:gs pos="100000">
                    <a:schemeClr val="accent4">
                      <a:lumMod val="60000"/>
                      <a:lumOff val="40000"/>
                      <a:shade val="100000"/>
                      <a:satMod val="115000"/>
                    </a:schemeClr>
                  </a:gs>
                </a:gsLst>
                <a:path path="circle">
                  <a:fillToRect r="100000" b="100000"/>
                </a:path>
                <a:tileRect l="-100000" t="-100000"/>
              </a:gra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EEF-4C22-BFC0-5284D5CE41DC}"/>
              </c:ext>
            </c:extLst>
          </c:dPt>
          <c:dPt>
            <c:idx val="3"/>
            <c:bubble3D val="0"/>
            <c:spPr>
              <a:gradFill flip="none" rotWithShape="1">
                <a:gsLst>
                  <a:gs pos="41000">
                    <a:srgbClr val="0070C0"/>
                  </a:gs>
                  <a:gs pos="0">
                    <a:schemeClr val="accent1">
                      <a:lumMod val="75000"/>
                      <a:shade val="30000"/>
                      <a:satMod val="115000"/>
                    </a:schemeClr>
                  </a:gs>
                  <a:gs pos="90000">
                    <a:srgbClr val="327EC4"/>
                  </a:gs>
                </a:gsLst>
                <a:path path="circle">
                  <a:fillToRect r="100000" b="100000"/>
                </a:path>
                <a:tileRect l="-100000" t="-100000"/>
              </a:gra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EEF-4C22-BFC0-5284D5CE41DC}"/>
              </c:ext>
            </c:extLst>
          </c:dPt>
          <c:dPt>
            <c:idx val="4"/>
            <c:bubble3D val="0"/>
            <c:spPr>
              <a:gradFill flip="none" rotWithShape="1">
                <a:gsLst>
                  <a:gs pos="0">
                    <a:schemeClr val="bg1">
                      <a:lumMod val="75000"/>
                      <a:shade val="30000"/>
                      <a:satMod val="115000"/>
                    </a:schemeClr>
                  </a:gs>
                  <a:gs pos="50000">
                    <a:schemeClr val="bg1">
                      <a:lumMod val="75000"/>
                      <a:shade val="67500"/>
                      <a:satMod val="115000"/>
                    </a:schemeClr>
                  </a:gs>
                  <a:gs pos="100000">
                    <a:schemeClr val="bg1">
                      <a:lumMod val="75000"/>
                      <a:shade val="100000"/>
                      <a:satMod val="115000"/>
                    </a:schemeClr>
                  </a:gs>
                </a:gsLst>
                <a:lin ang="8100000" scaled="1"/>
                <a:tileRect/>
              </a:gra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EEF-4C22-BFC0-5284D5CE41DC}"/>
              </c:ext>
            </c:extLst>
          </c:dPt>
          <c:dPt>
            <c:idx val="5"/>
            <c:bubble3D val="0"/>
            <c:spPr>
              <a:gradFill flip="none" rotWithShape="1">
                <a:gsLst>
                  <a:gs pos="0">
                    <a:schemeClr val="accent6">
                      <a:lumMod val="60000"/>
                      <a:lumOff val="40000"/>
                      <a:shade val="30000"/>
                      <a:satMod val="115000"/>
                    </a:schemeClr>
                  </a:gs>
                  <a:gs pos="50000">
                    <a:schemeClr val="accent6">
                      <a:lumMod val="60000"/>
                      <a:lumOff val="40000"/>
                      <a:shade val="67500"/>
                      <a:satMod val="115000"/>
                    </a:schemeClr>
                  </a:gs>
                  <a:gs pos="100000">
                    <a:schemeClr val="accent6">
                      <a:lumMod val="60000"/>
                      <a:lumOff val="40000"/>
                      <a:shade val="100000"/>
                      <a:satMod val="115000"/>
                    </a:schemeClr>
                  </a:gs>
                </a:gsLst>
                <a:lin ang="13500000" scaled="1"/>
                <a:tileRect/>
              </a:gra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EEF-4C22-BFC0-5284D5CE41DC}"/>
              </c:ext>
            </c:extLst>
          </c:dPt>
          <c:dLbls>
            <c:dLbl>
              <c:idx val="3"/>
              <c:layout>
                <c:manualLayout>
                  <c:x val="-1.5820996722793579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EF-4C22-BFC0-5284D5CE41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Зайві втрати</c:v>
                </c:pt>
                <c:pt idx="1">
                  <c:v>Недоотримання доходів</c:v>
                </c:pt>
                <c:pt idx="2">
                  <c:v>Інші фінансові порушення</c:v>
                </c:pt>
                <c:pt idx="3">
                  <c:v>Неефективні управлінські рішення</c:v>
                </c:pt>
                <c:pt idx="4">
                  <c:v>Порушення вимог законодавства та рішень Львівської міської ради при здійсненні закупівлі товарів, робіт та послуг</c:v>
                </c:pt>
                <c:pt idx="5">
                  <c:v>Попереджено втрат коштів Львівської міської територіальної громади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20.7</c:v>
                </c:pt>
                <c:pt idx="1">
                  <c:v>1.1000000000000001</c:v>
                </c:pt>
                <c:pt idx="2">
                  <c:v>10.5</c:v>
                </c:pt>
                <c:pt idx="3">
                  <c:v>10</c:v>
                </c:pt>
                <c:pt idx="4">
                  <c:v>11.9</c:v>
                </c:pt>
                <c:pt idx="5" formatCode="General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EEF-4C22-BFC0-5284D5CE41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632544448725471"/>
          <c:y val="4.3766196074446186E-2"/>
          <c:w val="0.34011370117892231"/>
          <c:h val="0.936529559639016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dirty="0" err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Кошторисна</a:t>
            </a:r>
            <a:r>
              <a:rPr lang="ru-RU" sz="1200" b="1" dirty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200" b="1" dirty="0" err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вартість</a:t>
            </a:r>
            <a:r>
              <a:rPr lang="ru-RU" sz="1200" b="1" dirty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ремонтно-</a:t>
            </a:r>
            <a:r>
              <a:rPr lang="ru-RU" sz="1200" b="1" dirty="0" err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будівельних</a:t>
            </a:r>
            <a:r>
              <a:rPr lang="ru-RU" sz="1200" b="1" dirty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та </a:t>
            </a:r>
            <a:r>
              <a:rPr lang="ru-RU" sz="1200" b="1" dirty="0" err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проєктно-вишукувальних</a:t>
            </a:r>
            <a:r>
              <a:rPr lang="ru-RU" sz="1200" b="1" dirty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200" b="1" dirty="0" err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робіт</a:t>
            </a:r>
            <a:r>
              <a:rPr lang="ru-RU" sz="1200" b="1" dirty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млн. грн.</a:t>
            </a:r>
          </a:p>
        </c:rich>
      </c:tx>
      <c:layout>
        <c:manualLayout>
          <c:xMode val="edge"/>
          <c:yMode val="edge"/>
          <c:x val="0.15699991680347417"/>
          <c:y val="3.21815655396016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Кошторисна вартість ремонтно-будівельних робіт, млн. грн.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6350" cap="flat" cmpd="sng" algn="ctr">
              <a:noFill/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75000"/>
                      <a:shade val="30000"/>
                      <a:satMod val="115000"/>
                    </a:schemeClr>
                  </a:gs>
                  <a:gs pos="50000">
                    <a:schemeClr val="accent2">
                      <a:lumMod val="75000"/>
                      <a:shade val="67500"/>
                      <a:satMod val="115000"/>
                    </a:schemeClr>
                  </a:gs>
                  <a:gs pos="100000">
                    <a:schemeClr val="accent2">
                      <a:lumMod val="75000"/>
                      <a:shade val="100000"/>
                      <a:satMod val="115000"/>
                    </a:schemeClr>
                  </a:gs>
                </a:gsLst>
                <a:lin ang="16200000" scaled="1"/>
                <a:tileRect/>
              </a:gradFill>
              <a:ln w="6350" cap="flat" cmpd="sng" algn="ctr">
                <a:noFill/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AE28-4D20-9E1F-61BF6DD8FA7B}"/>
              </c:ext>
            </c:extLst>
          </c:dPt>
          <c:dPt>
            <c:idx val="1"/>
            <c:invertIfNegative val="0"/>
            <c:bubble3D val="0"/>
            <c:spPr>
              <a:gradFill flip="none" rotWithShape="1">
                <a:gsLst>
                  <a:gs pos="0">
                    <a:schemeClr val="accent6">
                      <a:lumMod val="75000"/>
                      <a:shade val="30000"/>
                      <a:satMod val="115000"/>
                    </a:schemeClr>
                  </a:gs>
                  <a:gs pos="50000">
                    <a:schemeClr val="accent6">
                      <a:lumMod val="75000"/>
                      <a:shade val="67500"/>
                      <a:satMod val="115000"/>
                    </a:schemeClr>
                  </a:gs>
                  <a:gs pos="100000">
                    <a:schemeClr val="accent6">
                      <a:lumMod val="75000"/>
                      <a:shade val="100000"/>
                      <a:satMod val="115000"/>
                    </a:schemeClr>
                  </a:gs>
                </a:gsLst>
                <a:lin ang="16200000" scaled="1"/>
                <a:tileRect/>
              </a:gradFill>
              <a:ln w="6350" cap="flat" cmpd="sng" algn="ctr">
                <a:noFill/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AE28-4D20-9E1F-61BF6DD8FA7B}"/>
              </c:ext>
            </c:extLst>
          </c:dPt>
          <c:dLbls>
            <c:dLbl>
              <c:idx val="0"/>
              <c:layout>
                <c:manualLayout>
                  <c:x val="0"/>
                  <c:y val="-4.0143196969888564E-2"/>
                </c:manualLayout>
              </c:layout>
              <c:tx>
                <c:rich>
                  <a:bodyPr/>
                  <a:lstStyle/>
                  <a:p>
                    <a:fld id="{64AAD641-3CF8-42B2-91DB-B8ACE20C4A1D}" type="CATEGORYNAME">
                      <a:rPr lang="uk-UA" smtClean="0"/>
                      <a:pPr/>
                      <a:t>[ІМ’Я КАТЕГОРІЇ]</a:t>
                    </a:fld>
                    <a:r>
                      <a:rPr lang="uk-UA" baseline="0"/>
                      <a:t> </a:t>
                    </a:r>
                    <a:fld id="{310DF56B-56AF-4FD2-AD3A-21EC6824FE31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E28-4D20-9E1F-61BF6DD8FA7B}"/>
                </c:ext>
              </c:extLst>
            </c:dLbl>
            <c:dLbl>
              <c:idx val="1"/>
              <c:layout>
                <c:manualLayout>
                  <c:x val="2.993827764381402E-3"/>
                  <c:y val="-3.1541083333483849E-2"/>
                </c:manualLayout>
              </c:layout>
              <c:tx>
                <c:rich>
                  <a:bodyPr/>
                  <a:lstStyle/>
                  <a:p>
                    <a:fld id="{61AA97D1-6B48-41C0-BAB9-B7868FFA0B96}" type="CATEGORYNAME">
                      <a:rPr lang="uk-UA" smtClean="0"/>
                      <a:pPr/>
                      <a:t>[ІМ’Я КАТЕГОРІЇ]</a:t>
                    </a:fld>
                    <a:r>
                      <a:rPr lang="uk-UA" baseline="0" dirty="0"/>
                      <a:t> </a:t>
                    </a:r>
                    <a:fld id="{4D7B416A-E68D-407E-9942-A24B90C2029C}" type="VALUE">
                      <a:rPr lang="uk-UA" baseline="0"/>
                      <a:pPr/>
                      <a:t>[ЗНАЧЕННЯ]</a:t>
                    </a:fld>
                    <a:endParaRPr lang="uk-UA" baseline="0" dirty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E28-4D20-9E1F-61BF6DD8FA7B}"/>
                </c:ext>
              </c:extLst>
            </c:dLbl>
            <c:spPr>
              <a:solidFill>
                <a:prstClr val="white"/>
              </a:solidFill>
              <a:ln>
                <a:solidFill>
                  <a:prstClr val="black">
                    <a:lumMod val="25000"/>
                    <a:lumOff val="75000"/>
                  </a:prst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Надійшло</c:v>
                </c:pt>
                <c:pt idx="1">
                  <c:v>Погоджено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3868.85</c:v>
                </c:pt>
                <c:pt idx="1">
                  <c:v>3827.52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28-4D20-9E1F-61BF6DD8F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105945216"/>
        <c:axId val="-1105932160"/>
      </c:barChart>
      <c:catAx>
        <c:axId val="-1105945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105932160"/>
        <c:crosses val="autoZero"/>
        <c:auto val="1"/>
        <c:lblAlgn val="ctr"/>
        <c:lblOffset val="100"/>
        <c:noMultiLvlLbl val="0"/>
      </c:catAx>
      <c:valAx>
        <c:axId val="-110593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110594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0.45173</cdr:x>
      <cdr:y>0.17963</cdr:y>
    </cdr:from>
    <cdr:to>
      <cdr:x>0.8232</cdr:x>
      <cdr:y>0.39901</cdr:y>
    </cdr:to>
    <cdr:sp macro="" textlink="">
      <cdr:nvSpPr>
        <cdr:cNvPr id="2" name="Овальная выноска 1"/>
        <cdr:cNvSpPr/>
      </cdr:nvSpPr>
      <cdr:spPr>
        <a:xfrm xmlns:a="http://schemas.openxmlformats.org/drawingml/2006/main">
          <a:off x="4550053" y="779326"/>
          <a:ext cx="3741644" cy="951800"/>
        </a:xfrm>
        <a:prstGeom xmlns:a="http://schemas.openxmlformats.org/drawingml/2006/main" prst="wedgeEllipseCallout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uk-UA" sz="1200" b="1" i="1" dirty="0">
              <a:latin typeface="Arial" panose="020B0604020202020204" pitchFamily="34" charset="0"/>
              <a:cs typeface="Arial" panose="020B0604020202020204" pitchFamily="34" charset="0"/>
            </a:rPr>
            <a:t>Завищення 41,33 млн. грн.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DC64-8394-49AC-8135-173673C9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8861</Characters>
  <Application>Microsoft Office Word</Application>
  <DocSecurity>0</DocSecurity>
  <Lines>193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DDGroup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Москаленко Катерина</cp:lastModifiedBy>
  <cp:revision>3</cp:revision>
  <cp:lastPrinted>2026-01-19T07:42:00Z</cp:lastPrinted>
  <dcterms:created xsi:type="dcterms:W3CDTF">2026-01-28T13:17:00Z</dcterms:created>
  <dcterms:modified xsi:type="dcterms:W3CDTF">2026-01-28T13:17:00Z</dcterms:modified>
</cp:coreProperties>
</file>