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B651C0" w:rsidRPr="00B651C0">
        <w:rPr>
          <w:rFonts w:ascii="Arial" w:hAnsi="Arial" w:cs="Arial"/>
          <w:b/>
          <w:bCs/>
          <w:position w:val="0"/>
          <w:sz w:val="22"/>
          <w:lang w:val="uk-UA"/>
        </w:rPr>
        <w:t>ДК 021:2015 (CPV) : 45440000-3 Фарбування та скління (Благоустрій населених пунктів: послуги з поточного ремонту павільйонів зупинок громадського транспорту на території Личаківського району м. Львова)</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0C0A0C" w:rsidRPr="000C0A0C">
        <w:rPr>
          <w:rFonts w:ascii="Arial" w:eastAsia="Arial" w:hAnsi="Arial" w:cs="Arial"/>
          <w:color w:val="000000"/>
          <w:position w:val="0"/>
          <w:sz w:val="20"/>
          <w:szCs w:val="18"/>
          <w:lang w:val="uk-UA"/>
        </w:rPr>
        <w:t>павільйони зупинок громадського транспорту на території Личаківського району м. Львова (відповідно до Додатку 3 до тендерної документації)</w:t>
      </w:r>
      <w:r w:rsidR="000C0A0C">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Pr="004463C5">
        <w:rPr>
          <w:rFonts w:ascii="Arial" w:eastAsia="Arial" w:hAnsi="Arial" w:cs="Arial"/>
          <w:color w:val="00000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4463C5">
        <w:rPr>
          <w:rFonts w:ascii="Arial" w:eastAsia="Arial" w:hAnsi="Arial" w:cs="Arial"/>
          <w:color w:val="000000"/>
          <w:sz w:val="20"/>
          <w:szCs w:val="18"/>
          <w:lang w:val="uk-UA"/>
        </w:rPr>
        <w:t>закупівель</w:t>
      </w:r>
      <w:proofErr w:type="spellEnd"/>
      <w:r w:rsidRPr="004463C5">
        <w:rPr>
          <w:rFonts w:ascii="Arial" w:eastAsia="Arial" w:hAnsi="Arial" w:cs="Arial"/>
          <w:color w:val="000000"/>
          <w:sz w:val="20"/>
          <w:szCs w:val="18"/>
          <w:lang w:val="uk-UA"/>
        </w:rPr>
        <w:t>.</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bookmarkStart w:id="1" w:name="_GoBack"/>
      <w:bookmarkEnd w:id="1"/>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584443" w:rsidRPr="00055D02">
          <w:rPr>
            <w:rStyle w:val="a6"/>
            <w:rFonts w:ascii="Arial" w:hAnsi="Arial" w:cs="Arial"/>
            <w:b/>
            <w:sz w:val="20"/>
          </w:rPr>
          <w:t>UA-2026-03-09-010933-a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584443"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584443">
              <w:rPr>
                <w:rFonts w:ascii="Arial" w:eastAsia="Arial" w:hAnsi="Arial" w:cs="Arial"/>
                <w:color w:val="000000"/>
                <w:position w:val="0"/>
                <w:sz w:val="20"/>
                <w:szCs w:val="18"/>
                <w:lang w:val="uk-UA"/>
              </w:rPr>
              <w:t>213 983 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B23B7"/>
    <w:rsid w:val="000B5146"/>
    <w:rsid w:val="000C0A0C"/>
    <w:rsid w:val="000C76CE"/>
    <w:rsid w:val="000C7A99"/>
    <w:rsid w:val="0015761C"/>
    <w:rsid w:val="00197C6B"/>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1206"/>
    <w:rsid w:val="003C51D1"/>
    <w:rsid w:val="003F525D"/>
    <w:rsid w:val="003F6C8D"/>
    <w:rsid w:val="004009F2"/>
    <w:rsid w:val="0041344E"/>
    <w:rsid w:val="004926B4"/>
    <w:rsid w:val="004E189E"/>
    <w:rsid w:val="004E2D3A"/>
    <w:rsid w:val="00503F09"/>
    <w:rsid w:val="00540C4E"/>
    <w:rsid w:val="0054352F"/>
    <w:rsid w:val="00551BD2"/>
    <w:rsid w:val="0056633B"/>
    <w:rsid w:val="00584443"/>
    <w:rsid w:val="00585FBF"/>
    <w:rsid w:val="005E7606"/>
    <w:rsid w:val="005F01D6"/>
    <w:rsid w:val="006778FA"/>
    <w:rsid w:val="00685908"/>
    <w:rsid w:val="00685DE2"/>
    <w:rsid w:val="006B5ADB"/>
    <w:rsid w:val="006D55C2"/>
    <w:rsid w:val="00743067"/>
    <w:rsid w:val="00780E1D"/>
    <w:rsid w:val="007857F1"/>
    <w:rsid w:val="00787E7C"/>
    <w:rsid w:val="00792478"/>
    <w:rsid w:val="007B478C"/>
    <w:rsid w:val="007C519C"/>
    <w:rsid w:val="00802867"/>
    <w:rsid w:val="008136CF"/>
    <w:rsid w:val="00832935"/>
    <w:rsid w:val="00845AF5"/>
    <w:rsid w:val="00862424"/>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860B0"/>
    <w:rsid w:val="00A97DC3"/>
    <w:rsid w:val="00AB09D6"/>
    <w:rsid w:val="00AE35C1"/>
    <w:rsid w:val="00AE42D5"/>
    <w:rsid w:val="00B24D0C"/>
    <w:rsid w:val="00B5526A"/>
    <w:rsid w:val="00B562F4"/>
    <w:rsid w:val="00B651C0"/>
    <w:rsid w:val="00B7661D"/>
    <w:rsid w:val="00BA1B98"/>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0E20"/>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09-01093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1261</Words>
  <Characters>720</Characters>
  <Application>Microsoft Office Word</Application>
  <DocSecurity>0</DocSecurity>
  <Lines>6</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130</cp:revision>
  <cp:lastPrinted>2025-09-12T08:42:00Z</cp:lastPrinted>
  <dcterms:created xsi:type="dcterms:W3CDTF">2020-12-24T12:53:00Z</dcterms:created>
  <dcterms:modified xsi:type="dcterms:W3CDTF">2026-03-11T07:43:00Z</dcterms:modified>
</cp:coreProperties>
</file>