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gif" ContentType="image/gi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uk-UA"/>
          <w14:ligatures w14:val="none"/>
        </w:rPr>
      </w:pPr>
      <w:r>
        <w:rPr/>
        <w:drawing>
          <wp:inline distT="0" distB="0" distL="0" distR="0">
            <wp:extent cx="466725" cy="666750"/>
            <wp:effectExtent l="0" t="0" r="0" b="0"/>
            <wp:docPr id="1" name="Рисунок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uk-UA"/>
          <w14:ligatures w14:val="none"/>
        </w:rPr>
      </w:pPr>
      <w:r>
        <w:rPr>
          <w:rFonts w:eastAsia="Times New Roman" w:cs="Times New Roman CYR" w:ascii="Times New Roman CYR" w:hAnsi="Times New Roman CYR"/>
          <w:b/>
          <w:bCs/>
          <w:color w:val="000000"/>
          <w:kern w:val="0"/>
          <w:sz w:val="27"/>
          <w:szCs w:val="27"/>
          <w:lang w:eastAsia="uk-UA"/>
          <w14:ligatures w14:val="none"/>
        </w:rPr>
        <w:t>УКРАЇНА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uk-UA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</w:r>
      <w:r>
        <w:rPr>
          <w:rFonts w:eastAsia="Times New Roman" w:cs="Times New Roman CYR" w:ascii="Times New Roman CYR" w:hAnsi="Times New Roman CYR"/>
          <w:b/>
          <w:bCs/>
          <w:color w:val="000000"/>
          <w:kern w:val="0"/>
          <w:sz w:val="27"/>
          <w:szCs w:val="27"/>
          <w:lang w:eastAsia="uk-UA"/>
          <w14:ligatures w14:val="none"/>
        </w:rPr>
        <w:t>ЛЬВІВСЬКА МІСЬКА РАДА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uk-UA"/>
          <w14:ligatures w14:val="none"/>
        </w:rPr>
      </w:pPr>
      <w:r>
        <w:rPr/>
        <mc:AlternateContent>
          <mc:Choice Requires="wps">
            <w:drawing>
              <wp:inline distT="0" distB="0" distL="0" distR="0">
                <wp:extent cx="6332855" cy="28575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"/>
                        <wps:cNvSpPr/>
                      </wps:nvSpPr>
                      <wps:spPr>
                        <a:xfrm>
                          <a:off x="0" y="0"/>
                          <a:ext cx="6332760" cy="284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black" stroked="f" o:allowincell="f" style="position:absolute;margin-left:0pt;margin-top:-2.3pt;width:498.6pt;height:2.2pt;mso-wrap-style:none;v-text-anchor:middle;mso-position-horizontal:center;mso-position-vertical:top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uk-UA"/>
          <w14:ligatures w14:val="none"/>
        </w:rPr>
      </w:pPr>
      <w:r>
        <w:rPr>
          <w:rFonts w:eastAsia="Times New Roman" w:cs="Arial CYR" w:ascii="Arial CYR" w:hAnsi="Arial CYR"/>
          <w:b/>
          <w:bCs/>
          <w:color w:val="000000"/>
          <w:kern w:val="0"/>
          <w:sz w:val="27"/>
          <w:szCs w:val="27"/>
          <w:lang w:eastAsia="uk-UA"/>
          <w14:ligatures w14:val="none"/>
        </w:rPr>
        <w:t>Рішення № </w:t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lang w:eastAsia="uk-UA"/>
          <w14:ligatures w14:val="none"/>
        </w:rPr>
        <w:t>1556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від 13.12.2024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4a0" w:noHBand="0" w:noVBand="1" w:firstColumn="1" w:lastRow="0" w:lastColumn="0" w:firstRow="1"/>
      </w:tblPr>
      <w:tblGrid>
        <w:gridCol w:w="4819"/>
        <w:gridCol w:w="4819"/>
      </w:tblGrid>
      <w:tr>
        <w:trPr/>
        <w:tc>
          <w:tcPr>
            <w:tcW w:w="4819" w:type="dxa"/>
            <w:tcBorders/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Про затвердження плану прийняття регуляторних актів на 2025 рік</w:t>
            </w:r>
          </w:p>
        </w:tc>
        <w:tc>
          <w:tcPr>
            <w:tcW w:w="4819" w:type="dxa"/>
            <w:tcBorders/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/>
              <w:drawing>
                <wp:inline distT="0" distB="0" distL="0" distR="0">
                  <wp:extent cx="9525" cy="9525"/>
                  <wp:effectExtent l="0" t="0" r="0" b="0"/>
                  <wp:docPr id="4" name="Рисунок 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  <w:br/>
        <w:br/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uk-UA"/>
          <w14:ligatures w14:val="none"/>
        </w:rPr>
      </w:pPr>
      <w:r>
        <w:rPr>
          <w:rFonts w:eastAsia="Times New Roman" w:cs="Arial CYR" w:ascii="Arial CYR" w:hAnsi="Arial CYR"/>
          <w:color w:val="000000"/>
          <w:kern w:val="0"/>
          <w:sz w:val="27"/>
          <w:szCs w:val="27"/>
          <w:lang w:eastAsia="uk-UA"/>
          <w14:ligatures w14:val="none"/>
        </w:rPr>
        <w:t>Керуючись Законом України “Про засади державної регуляторної політики у сфері господарської діяльності“, відповідно до ухвал міської ради від 08.07.2021 № 1081 “Про розмежування повноважень між виконавчими органами Львівської міської ради“ і від 22.03.2018 № 3096 “Про затвердження Положення про реалізацію Львівською міською радою та її виконавчими органами державної регуляторної політики у сфері господарської діяльності“ виконавчий комітет вирішив: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1. Затвердити план прийняття регуляторних актів на 2025 рік (додається).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2. Департаменту “Адміністрація міського голови“ оприлюднити план прийняття регуляторних актів на 2025 рік у засобах масової інформації.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Відповідальний: директор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департаменту “Адміністрація міського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голови“.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3. Контроль за виконанням рішення покласти на директора департаменту економічного розвитку.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  <w:br/>
        <w:br/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Львівський міський голова Андрій САДОВИЙ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  <w:br/>
        <w:br/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Додаток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Затверджено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рішенням виконкому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від 13.12.2024 № 1556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  <w:br/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ПЛАН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прийняття регуляторних актів на 2025 рік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  <w:br/>
      </w:r>
    </w:p>
    <w:tbl>
      <w:tblPr>
        <w:tblW w:w="8831" w:type="dxa"/>
        <w:jc w:val="start"/>
        <w:tblInd w:w="7" w:type="dxa"/>
        <w:tblLayout w:type="fixed"/>
        <w:tblCellMar>
          <w:top w:w="15" w:type="dxa"/>
          <w:start w:w="22" w:type="dxa"/>
          <w:bottom w:w="15" w:type="dxa"/>
          <w:end w:w="22" w:type="dxa"/>
        </w:tblCellMar>
        <w:tblLook w:val="04a0" w:noHBand="0" w:noVBand="1" w:firstColumn="1" w:lastRow="0" w:lastColumn="0" w:firstRow="1"/>
      </w:tblPr>
      <w:tblGrid>
        <w:gridCol w:w="556"/>
        <w:gridCol w:w="3780"/>
        <w:gridCol w:w="1899"/>
        <w:gridCol w:w="2595"/>
      </w:tblGrid>
      <w:tr>
        <w:trPr/>
        <w:tc>
          <w:tcPr>
            <w:tcW w:w="556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 xml:space="preserve">№ </w:t>
            </w: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з/п</w:t>
            </w:r>
          </w:p>
        </w:tc>
        <w:tc>
          <w:tcPr>
            <w:tcW w:w="378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Назва регуляторного акта</w:t>
            </w:r>
          </w:p>
        </w:tc>
        <w:tc>
          <w:tcPr>
            <w:tcW w:w="1899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Термін прийняття регуляторного акта</w:t>
            </w:r>
          </w:p>
        </w:tc>
        <w:tc>
          <w:tcPr>
            <w:tcW w:w="2595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Відповідальний за прийняття регуляторного акта</w:t>
            </w:r>
          </w:p>
        </w:tc>
      </w:tr>
      <w:tr>
        <w:trPr/>
        <w:tc>
          <w:tcPr>
            <w:tcW w:w="8830" w:type="dxa"/>
            <w:gridSpan w:val="4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b/>
                <w:bCs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1. Ухвали міської ради</w:t>
            </w:r>
          </w:p>
        </w:tc>
      </w:tr>
      <w:tr>
        <w:trPr/>
        <w:tc>
          <w:tcPr>
            <w:tcW w:w="556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1.1.</w:t>
            </w:r>
          </w:p>
        </w:tc>
        <w:tc>
          <w:tcPr>
            <w:tcW w:w="378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Про затвердження Положення про оформлення права на оренду окремих конструктивних елементів благоустрою для розміщення автоматів для продажу товарів (надання послуг) на території Львівської міської територіальної громади</w:t>
            </w:r>
          </w:p>
        </w:tc>
        <w:tc>
          <w:tcPr>
            <w:tcW w:w="1899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І квартал</w:t>
            </w:r>
          </w:p>
        </w:tc>
        <w:tc>
          <w:tcPr>
            <w:tcW w:w="2595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Департамент економічного розвитку</w:t>
            </w:r>
          </w:p>
        </w:tc>
      </w:tr>
      <w:tr>
        <w:trPr/>
        <w:tc>
          <w:tcPr>
            <w:tcW w:w="556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1.2.</w:t>
            </w:r>
          </w:p>
        </w:tc>
        <w:tc>
          <w:tcPr>
            <w:tcW w:w="378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Про окремі питання оренди майна Львівської міської територіальної громади</w:t>
            </w:r>
          </w:p>
        </w:tc>
        <w:tc>
          <w:tcPr>
            <w:tcW w:w="1899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І квартал</w:t>
            </w:r>
          </w:p>
        </w:tc>
        <w:tc>
          <w:tcPr>
            <w:tcW w:w="2595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Управління комунальної власності департаменту економічного розвитку</w:t>
            </w:r>
          </w:p>
        </w:tc>
      </w:tr>
      <w:tr>
        <w:trPr/>
        <w:tc>
          <w:tcPr>
            <w:tcW w:w="556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1.3.</w:t>
            </w:r>
          </w:p>
        </w:tc>
        <w:tc>
          <w:tcPr>
            <w:tcW w:w="378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Про затвердження Порядку подання та розгляду заяв про включення об’єктів права комунальної власності до переліку об’єктів малої приватизації, що підлягають приватизації</w:t>
            </w:r>
          </w:p>
        </w:tc>
        <w:tc>
          <w:tcPr>
            <w:tcW w:w="1899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І квартал</w:t>
            </w:r>
          </w:p>
        </w:tc>
        <w:tc>
          <w:tcPr>
            <w:tcW w:w="2595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Управління комунальної власності департаменту економічного розвитку</w:t>
            </w:r>
          </w:p>
        </w:tc>
      </w:tr>
      <w:tr>
        <w:trPr/>
        <w:tc>
          <w:tcPr>
            <w:tcW w:w="556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1.4.</w:t>
            </w:r>
          </w:p>
        </w:tc>
        <w:tc>
          <w:tcPr>
            <w:tcW w:w="378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Про регулювання використання елементів благоустрою для здійснення підприємницької діяльності на території Львівської міської територіальної громади</w:t>
            </w:r>
          </w:p>
        </w:tc>
        <w:tc>
          <w:tcPr>
            <w:tcW w:w="1899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І квартал</w:t>
            </w:r>
          </w:p>
        </w:tc>
        <w:tc>
          <w:tcPr>
            <w:tcW w:w="2595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Управління комунальної власності департаменту економічного розвитку</w:t>
            </w:r>
          </w:p>
        </w:tc>
      </w:tr>
      <w:tr>
        <w:trPr/>
        <w:tc>
          <w:tcPr>
            <w:tcW w:w="8830" w:type="dxa"/>
            <w:gridSpan w:val="4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b/>
                <w:bCs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2. Рішення виконавчого комітету</w:t>
            </w:r>
          </w:p>
        </w:tc>
      </w:tr>
      <w:tr>
        <w:trPr/>
        <w:tc>
          <w:tcPr>
            <w:tcW w:w="556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2.1.</w:t>
            </w:r>
          </w:p>
        </w:tc>
        <w:tc>
          <w:tcPr>
            <w:tcW w:w="378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Про здійснення нагляду за відновленням об’єктів благоустрою та усуненням пошкоджень цих об’єктів внаслідок виконання земляних та ремонтних робіт на території Львівської міської територіальної громади</w:t>
            </w:r>
          </w:p>
        </w:tc>
        <w:tc>
          <w:tcPr>
            <w:tcW w:w="1899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І квартал</w:t>
            </w:r>
          </w:p>
        </w:tc>
        <w:tc>
          <w:tcPr>
            <w:tcW w:w="2595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Управління інженерного господарства департаменту житлового господарства та інфраструктури</w:t>
            </w:r>
          </w:p>
        </w:tc>
      </w:tr>
      <w:tr>
        <w:trPr/>
        <w:tc>
          <w:tcPr>
            <w:tcW w:w="556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2.2.</w:t>
            </w:r>
          </w:p>
        </w:tc>
        <w:tc>
          <w:tcPr>
            <w:tcW w:w="378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Про встановлення Львівському комунальному підприємству “Муніципальна обрядова служба“ тарифів на ритуальні послуги</w:t>
            </w:r>
          </w:p>
        </w:tc>
        <w:tc>
          <w:tcPr>
            <w:tcW w:w="1899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І квартал</w:t>
            </w:r>
          </w:p>
        </w:tc>
        <w:tc>
          <w:tcPr>
            <w:tcW w:w="2595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Департамент житлового господарства та інфраструктури</w:t>
            </w:r>
          </w:p>
        </w:tc>
      </w:tr>
      <w:tr>
        <w:trPr/>
        <w:tc>
          <w:tcPr>
            <w:tcW w:w="556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2.3.</w:t>
            </w:r>
          </w:p>
        </w:tc>
        <w:tc>
          <w:tcPr>
            <w:tcW w:w="378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Про затвердження норм надання послуги з управління побутовими відходами в населених пунктах Львівської міської територіальної громади на 2025-2029 роки</w:t>
            </w:r>
          </w:p>
        </w:tc>
        <w:tc>
          <w:tcPr>
            <w:tcW w:w="1899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І квартал</w:t>
            </w:r>
          </w:p>
        </w:tc>
        <w:tc>
          <w:tcPr>
            <w:tcW w:w="2595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Департамент житлового господарства та інфраструктури</w:t>
            </w:r>
          </w:p>
        </w:tc>
      </w:tr>
      <w:tr>
        <w:trPr/>
        <w:tc>
          <w:tcPr>
            <w:tcW w:w="556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2.4.</w:t>
            </w:r>
          </w:p>
        </w:tc>
        <w:tc>
          <w:tcPr>
            <w:tcW w:w="378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Про затвердження Тимчасового положення про оренду окремих конструктивних елементів благоустрою для розміщення об’єктів соціально-культурного, торговельного та іншого призначення на території парків, лісопарків та парків-пам’яток садово-паркового мистецтва на території Львівської міської територіальної громади на 2025 рік</w:t>
            </w:r>
          </w:p>
        </w:tc>
        <w:tc>
          <w:tcPr>
            <w:tcW w:w="1899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І квартал</w:t>
            </w:r>
          </w:p>
        </w:tc>
        <w:tc>
          <w:tcPr>
            <w:tcW w:w="2595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Департамент природних ресурсів, будівництва та розвитку громад</w:t>
            </w:r>
          </w:p>
        </w:tc>
      </w:tr>
      <w:tr>
        <w:trPr/>
        <w:tc>
          <w:tcPr>
            <w:tcW w:w="556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2.5.</w:t>
            </w:r>
          </w:p>
        </w:tc>
        <w:tc>
          <w:tcPr>
            <w:tcW w:w="378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Про затвердження Положення про комісію забезпечення доступності об’єктів фізичного оточення у Львівській міській територіальній громаді</w:t>
            </w:r>
          </w:p>
        </w:tc>
        <w:tc>
          <w:tcPr>
            <w:tcW w:w="1899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І квартал</w:t>
            </w:r>
          </w:p>
        </w:tc>
        <w:tc>
          <w:tcPr>
            <w:tcW w:w="2595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Департамент природних ресурсів, будівництва та розвитку громад</w:t>
            </w:r>
          </w:p>
        </w:tc>
      </w:tr>
      <w:tr>
        <w:trPr/>
        <w:tc>
          <w:tcPr>
            <w:tcW w:w="556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2.6.</w:t>
            </w:r>
          </w:p>
        </w:tc>
        <w:tc>
          <w:tcPr>
            <w:tcW w:w="378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Про встановлення тарифу на надання послуг з перероблення роздільно зібраних харчових та садових відходів</w:t>
            </w:r>
          </w:p>
        </w:tc>
        <w:tc>
          <w:tcPr>
            <w:tcW w:w="1899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І квартал</w:t>
            </w:r>
          </w:p>
        </w:tc>
        <w:tc>
          <w:tcPr>
            <w:tcW w:w="2595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Департамент економічного розвитку</w:t>
            </w:r>
          </w:p>
        </w:tc>
      </w:tr>
      <w:tr>
        <w:trPr/>
        <w:tc>
          <w:tcPr>
            <w:tcW w:w="556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2.7.</w:t>
            </w:r>
          </w:p>
        </w:tc>
        <w:tc>
          <w:tcPr>
            <w:tcW w:w="378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Про затвердження Правил приймання стічних вод споживачів до системи централізованого водовідведення Львівської міської територіальної громади</w:t>
            </w:r>
          </w:p>
        </w:tc>
        <w:tc>
          <w:tcPr>
            <w:tcW w:w="1899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ІV квартал</w:t>
            </w:r>
          </w:p>
        </w:tc>
        <w:tc>
          <w:tcPr>
            <w:tcW w:w="2595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eastAsia="Times New Roman" w:cs="Arial CYR" w:ascii="Arial CYR" w:hAnsi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Управління інженерного господарства департаменту житлового господарства та інфраструктури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  <w:br/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Керуючий справами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виконавчого комітету Євген БОЙКО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  <w:br/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Віза: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В. о. начальника управління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uk-UA"/>
          <w14:ligatures w14:val="none"/>
        </w:rPr>
        <w:br/>
      </w:r>
      <w:r>
        <w:rPr>
          <w:rFonts w:eastAsia="Times New Roman" w:cs="Arial CYR" w:ascii="Arial CYR" w:hAnsi="Arial CYR"/>
          <w:color w:val="000000"/>
          <w:kern w:val="0"/>
          <w:sz w:val="27"/>
          <w:szCs w:val="27"/>
          <w:shd w:fill="FFFFFF" w:val="clear"/>
          <w:lang w:eastAsia="uk-UA"/>
          <w14:ligatures w14:val="none"/>
        </w:rPr>
        <w:t>економіки Галина ЗАЯЦЬ</w:t>
      </w:r>
    </w:p>
    <w:sectPr>
      <w:type w:val="nextPage"/>
      <w:pgSz w:w="11906" w:h="16838"/>
      <w:pgMar w:left="1417" w:right="850" w:gutter="0" w:header="0" w:top="850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ptos">
    <w:charset w:val="01" w:characterSet="utf-8"/>
    <w:family w:val="roman"/>
    <w:pitch w:val="variable"/>
  </w:font>
  <w:font w:name="Aptos Display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Times New Roman CYR">
    <w:charset w:val="01" w:characterSet="utf-8"/>
    <w:family w:val="roman"/>
    <w:pitch w:val="variable"/>
  </w:font>
  <w:font w:name="Arial CYR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uk-UA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761b43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61b43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61b43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E74B5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61b43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761b43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E74B5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761b43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761b43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761b43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761b43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Heading1"/>
    <w:uiPriority w:val="9"/>
    <w:qFormat/>
    <w:rsid w:val="00761b43"/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40"/>
      <w:szCs w:val="40"/>
    </w:rPr>
  </w:style>
  <w:style w:type="character" w:styleId="2" w:customStyle="1">
    <w:name w:val="Заголовок 2 Знак"/>
    <w:basedOn w:val="DefaultParagraphFont"/>
    <w:link w:val="Heading2"/>
    <w:uiPriority w:val="9"/>
    <w:semiHidden/>
    <w:qFormat/>
    <w:rsid w:val="00761b43"/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3" w:customStyle="1">
    <w:name w:val="Заголовок 3 Знак"/>
    <w:basedOn w:val="DefaultParagraphFont"/>
    <w:link w:val="Heading3"/>
    <w:uiPriority w:val="9"/>
    <w:semiHidden/>
    <w:qFormat/>
    <w:rsid w:val="00761b43"/>
    <w:rPr>
      <w:rFonts w:eastAsia="" w:cs="" w:cstheme="majorBidi" w:eastAsiaTheme="majorEastAsia"/>
      <w:color w:themeColor="accent1" w:themeShade="bf" w:val="2E74B5"/>
      <w:sz w:val="28"/>
      <w:szCs w:val="28"/>
    </w:rPr>
  </w:style>
  <w:style w:type="character" w:styleId="4" w:customStyle="1">
    <w:name w:val="Заголовок 4 Знак"/>
    <w:basedOn w:val="DefaultParagraphFont"/>
    <w:link w:val="Heading4"/>
    <w:uiPriority w:val="9"/>
    <w:semiHidden/>
    <w:qFormat/>
    <w:rsid w:val="00761b43"/>
    <w:rPr>
      <w:rFonts w:eastAsia="" w:cs="" w:cstheme="majorBidi" w:eastAsiaTheme="majorEastAsia"/>
      <w:i/>
      <w:iCs/>
      <w:color w:themeColor="accent1" w:themeShade="bf" w:val="2E74B5"/>
    </w:rPr>
  </w:style>
  <w:style w:type="character" w:styleId="5" w:customStyle="1">
    <w:name w:val="Заголовок 5 Знак"/>
    <w:basedOn w:val="DefaultParagraphFont"/>
    <w:link w:val="Heading5"/>
    <w:uiPriority w:val="9"/>
    <w:semiHidden/>
    <w:qFormat/>
    <w:rsid w:val="00761b43"/>
    <w:rPr>
      <w:rFonts w:eastAsia="" w:cs="" w:cstheme="majorBidi" w:eastAsiaTheme="majorEastAsia"/>
      <w:color w:themeColor="accent1" w:themeShade="bf" w:val="2E74B5"/>
    </w:rPr>
  </w:style>
  <w:style w:type="character" w:styleId="6" w:customStyle="1">
    <w:name w:val="Заголовок 6 Знак"/>
    <w:basedOn w:val="DefaultParagraphFont"/>
    <w:link w:val="Heading6"/>
    <w:uiPriority w:val="9"/>
    <w:semiHidden/>
    <w:qFormat/>
    <w:rsid w:val="00761b43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link w:val="Heading7"/>
    <w:uiPriority w:val="9"/>
    <w:semiHidden/>
    <w:qFormat/>
    <w:rsid w:val="00761b43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link w:val="Heading8"/>
    <w:uiPriority w:val="9"/>
    <w:semiHidden/>
    <w:qFormat/>
    <w:rsid w:val="00761b43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link w:val="Heading9"/>
    <w:uiPriority w:val="9"/>
    <w:semiHidden/>
    <w:qFormat/>
    <w:rsid w:val="00761b43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Назва Знак"/>
    <w:basedOn w:val="DefaultParagraphFont"/>
    <w:link w:val="Title"/>
    <w:uiPriority w:val="10"/>
    <w:qFormat/>
    <w:rsid w:val="00761b43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ідзаголовок Знак"/>
    <w:basedOn w:val="DefaultParagraphFont"/>
    <w:link w:val="Subtitle"/>
    <w:uiPriority w:val="11"/>
    <w:qFormat/>
    <w:rsid w:val="00761b43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Style7" w:customStyle="1">
    <w:name w:val="Цитата Знак"/>
    <w:basedOn w:val="DefaultParagraphFont"/>
    <w:link w:val="Quote"/>
    <w:uiPriority w:val="29"/>
    <w:qFormat/>
    <w:rsid w:val="00761b43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61b43"/>
    <w:rPr>
      <w:i/>
      <w:iCs/>
      <w:color w:themeColor="accent1" w:themeShade="bf" w:val="2E74B5"/>
    </w:rPr>
  </w:style>
  <w:style w:type="character" w:styleId="Style8" w:customStyle="1">
    <w:name w:val="Насичена цитата Знак"/>
    <w:basedOn w:val="DefaultParagraphFont"/>
    <w:link w:val="IntenseQuote"/>
    <w:uiPriority w:val="30"/>
    <w:qFormat/>
    <w:rsid w:val="00761b43"/>
    <w:rPr>
      <w:i/>
      <w:iCs/>
      <w:color w:themeColor="accent1" w:themeShade="bf" w:val="2E74B5"/>
    </w:rPr>
  </w:style>
  <w:style w:type="character" w:styleId="IntenseReference">
    <w:name w:val="Intense Reference"/>
    <w:basedOn w:val="DefaultParagraphFont"/>
    <w:uiPriority w:val="32"/>
    <w:qFormat/>
    <w:rsid w:val="00761b43"/>
    <w:rPr>
      <w:b/>
      <w:bCs/>
      <w:smallCaps/>
      <w:color w:themeColor="accent1" w:themeShade="bf" w:val="2E74B5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le">
    <w:name w:val="Title"/>
    <w:basedOn w:val="Normal"/>
    <w:next w:val="Normal"/>
    <w:link w:val="Style5"/>
    <w:uiPriority w:val="10"/>
    <w:qFormat/>
    <w:rsid w:val="00761b43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761b43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Style7"/>
    <w:uiPriority w:val="29"/>
    <w:qFormat/>
    <w:rsid w:val="00761b43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761b43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Style8"/>
    <w:uiPriority w:val="30"/>
    <w:qFormat/>
    <w:rsid w:val="00761b4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E74B5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gi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LibreOffice/24.8.3.2$Linux_X86_64 LibreOffice_project/480$Build-2</Application>
  <AppVersion>15.0000</AppVersion>
  <Pages>2</Pages>
  <Words>477</Words>
  <Characters>3531</Characters>
  <CharactersWithSpaces>3972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2024-12-19T09:31:00Z</dcterms:created>
  <dc:creator>Куденчук Оксана</dc:creator>
  <dc:description/>
  <dc:language>ru-RU</dc:language>
  <cp:lastModifiedBy>Куденчук Оксана</cp:lastModifiedBy>
  <dcterms:modified xsi:type="dcterms:W3CDTF">2024-12-19T09:31:00Z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