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ED31AA" w:rsidRDefault="00171B10" w:rsidP="00F6019F">
      <w:pPr>
        <w:ind w:left="-57" w:right="-81" w:firstLine="57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F6019F">
      <w:pPr>
        <w:ind w:left="-57" w:right="-81" w:firstLine="570"/>
        <w:rPr>
          <w:sz w:val="28"/>
          <w:szCs w:val="28"/>
          <w:lang w:val="en-US"/>
        </w:rPr>
      </w:pPr>
    </w:p>
    <w:p w:rsidR="00ED31AA" w:rsidRDefault="00ED31AA" w:rsidP="00ED31AA">
      <w:pPr>
        <w:ind w:left="-426" w:right="-87" w:firstLine="570"/>
        <w:rPr>
          <w:sz w:val="28"/>
          <w:szCs w:val="28"/>
          <w:lang w:val="en-US"/>
        </w:rPr>
      </w:pPr>
    </w:p>
    <w:p w:rsidR="00B3105B" w:rsidRPr="00355D0B" w:rsidRDefault="00821D42" w:rsidP="00ED31AA">
      <w:pPr>
        <w:ind w:left="4530" w:right="-87" w:firstLine="1134"/>
        <w:rPr>
          <w:sz w:val="28"/>
          <w:szCs w:val="28"/>
        </w:rPr>
      </w:pPr>
      <w:r w:rsidRPr="00355D0B">
        <w:rPr>
          <w:sz w:val="28"/>
          <w:szCs w:val="28"/>
        </w:rPr>
        <w:t>Львівська міська рада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</w:p>
    <w:p w:rsidR="0095126D" w:rsidRPr="00355D0B" w:rsidRDefault="0095126D" w:rsidP="00ED31AA">
      <w:pPr>
        <w:ind w:left="5664" w:right="-87"/>
        <w:rPr>
          <w:sz w:val="28"/>
          <w:szCs w:val="28"/>
        </w:rPr>
      </w:pPr>
      <w:r w:rsidRPr="00355D0B">
        <w:rPr>
          <w:sz w:val="28"/>
          <w:szCs w:val="28"/>
        </w:rPr>
        <w:t>Виконавчий комітет</w:t>
      </w:r>
      <w:r w:rsidR="00F6019F" w:rsidRPr="00355D0B">
        <w:rPr>
          <w:sz w:val="28"/>
          <w:szCs w:val="28"/>
        </w:rPr>
        <w:t xml:space="preserve"> Львівської міської ради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Про виконання  міського бюджету</w:t>
      </w:r>
    </w:p>
    <w:p w:rsidR="0095126D" w:rsidRPr="00355D0B" w:rsidRDefault="00885D10" w:rsidP="00ED31AA">
      <w:pPr>
        <w:ind w:left="-426" w:right="-87" w:firstLine="570"/>
        <w:rPr>
          <w:sz w:val="28"/>
          <w:szCs w:val="28"/>
        </w:rPr>
      </w:pPr>
      <w:r w:rsidRPr="00355D0B">
        <w:rPr>
          <w:sz w:val="28"/>
          <w:szCs w:val="28"/>
        </w:rPr>
        <w:t>м.</w:t>
      </w:r>
      <w:r w:rsidR="00D14C2F"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Львова за </w:t>
      </w:r>
      <w:r w:rsidR="00647DA7" w:rsidRPr="00355D0B">
        <w:rPr>
          <w:sz w:val="28"/>
          <w:szCs w:val="28"/>
        </w:rPr>
        <w:t>1-</w:t>
      </w:r>
      <w:r w:rsidR="002C7E20" w:rsidRPr="00355D0B">
        <w:rPr>
          <w:sz w:val="28"/>
          <w:szCs w:val="28"/>
          <w:lang w:val="ru-RU"/>
        </w:rPr>
        <w:t>ше півріччя</w:t>
      </w:r>
      <w:r w:rsidR="00CE2D54" w:rsidRPr="00355D0B">
        <w:rPr>
          <w:sz w:val="28"/>
          <w:szCs w:val="28"/>
        </w:rPr>
        <w:t xml:space="preserve"> 201</w:t>
      </w:r>
      <w:r w:rsidR="00F0451F" w:rsidRPr="00355D0B">
        <w:rPr>
          <w:sz w:val="28"/>
          <w:szCs w:val="28"/>
          <w:lang w:val="ru-RU"/>
        </w:rPr>
        <w:t>8</w:t>
      </w:r>
      <w:r w:rsidR="00CE2D54" w:rsidRPr="00355D0B">
        <w:rPr>
          <w:sz w:val="28"/>
          <w:szCs w:val="28"/>
        </w:rPr>
        <w:t xml:space="preserve"> року</w:t>
      </w:r>
    </w:p>
    <w:p w:rsidR="0095126D" w:rsidRPr="00355D0B" w:rsidRDefault="0095126D" w:rsidP="00ED31AA">
      <w:pPr>
        <w:ind w:left="-426" w:right="-87" w:firstLine="570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bCs/>
          <w:sz w:val="28"/>
          <w:szCs w:val="28"/>
        </w:rPr>
      </w:pPr>
      <w:r w:rsidRPr="00355D0B">
        <w:rPr>
          <w:bCs/>
          <w:sz w:val="28"/>
          <w:szCs w:val="28"/>
        </w:rPr>
        <w:t xml:space="preserve">Уточнений обсяг доходів </w:t>
      </w:r>
      <w:r w:rsidRPr="00355D0B">
        <w:rPr>
          <w:b/>
          <w:bCs/>
          <w:sz w:val="28"/>
          <w:szCs w:val="28"/>
        </w:rPr>
        <w:t>загального фонду</w:t>
      </w:r>
      <w:r w:rsidRPr="00355D0B">
        <w:rPr>
          <w:bCs/>
          <w:sz w:val="28"/>
          <w:szCs w:val="28"/>
        </w:rPr>
        <w:t xml:space="preserve"> міського бюджету м. Львова на 201</w:t>
      </w:r>
      <w:r w:rsidRPr="00355D0B">
        <w:rPr>
          <w:bCs/>
          <w:sz w:val="28"/>
          <w:szCs w:val="28"/>
          <w:lang w:val="ru-RU"/>
        </w:rPr>
        <w:t>8</w:t>
      </w:r>
      <w:r w:rsidRPr="00355D0B">
        <w:rPr>
          <w:bCs/>
          <w:sz w:val="28"/>
          <w:szCs w:val="28"/>
        </w:rPr>
        <w:t xml:space="preserve"> рік без врахування міжбюджетних трансфертів затверджений в сумі </w:t>
      </w:r>
      <w:r w:rsidRPr="00355D0B">
        <w:rPr>
          <w:b/>
          <w:bCs/>
          <w:sz w:val="28"/>
          <w:szCs w:val="28"/>
          <w:lang w:val="ru-RU"/>
        </w:rPr>
        <w:t xml:space="preserve">5209,4 </w:t>
      </w:r>
      <w:r w:rsidRPr="00355D0B">
        <w:rPr>
          <w:bCs/>
          <w:sz w:val="28"/>
          <w:szCs w:val="28"/>
        </w:rPr>
        <w:t>млн. грн.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1-ше півріччя 201</w:t>
      </w:r>
      <w:r w:rsidRPr="00355D0B">
        <w:rPr>
          <w:sz w:val="28"/>
          <w:szCs w:val="28"/>
          <w:lang w:val="ru-RU"/>
        </w:rPr>
        <w:t xml:space="preserve">8 </w:t>
      </w:r>
      <w:r w:rsidRPr="00355D0B">
        <w:rPr>
          <w:sz w:val="28"/>
          <w:szCs w:val="28"/>
        </w:rPr>
        <w:t xml:space="preserve">року до загального фонду бюджету без врахування міжбюджетних трансфертів надійшло </w:t>
      </w:r>
      <w:r w:rsidRPr="00355D0B">
        <w:rPr>
          <w:sz w:val="28"/>
          <w:szCs w:val="28"/>
          <w:lang w:val="ru-RU"/>
        </w:rPr>
        <w:t>2650,0</w:t>
      </w:r>
      <w:r w:rsidRPr="00355D0B">
        <w:rPr>
          <w:sz w:val="28"/>
          <w:szCs w:val="28"/>
        </w:rPr>
        <w:t xml:space="preserve"> млн. грн., що складає 110,9 відсотка до  плану на 1-ше півріччя або більше на 260,4 млн. грн. </w:t>
      </w:r>
      <w:r w:rsidR="007164BE" w:rsidRPr="00355D0B">
        <w:rPr>
          <w:sz w:val="28"/>
          <w:szCs w:val="28"/>
        </w:rPr>
        <w:t>У</w:t>
      </w:r>
      <w:r w:rsidRPr="00355D0B">
        <w:rPr>
          <w:sz w:val="28"/>
          <w:szCs w:val="28"/>
        </w:rPr>
        <w:t xml:space="preserve"> порівнянні з 1-м півріччям минулого року надходження до загального фонду міського бюджету</w:t>
      </w:r>
      <w:r w:rsidR="007164BE" w:rsidRPr="00355D0B">
        <w:rPr>
          <w:sz w:val="28"/>
          <w:szCs w:val="28"/>
        </w:rPr>
        <w:t xml:space="preserve">        </w:t>
      </w:r>
      <w:r w:rsidRPr="00355D0B">
        <w:rPr>
          <w:sz w:val="28"/>
          <w:szCs w:val="28"/>
        </w:rPr>
        <w:t xml:space="preserve"> м. Львова збільшилися на 546,3 млн. грн.</w:t>
      </w:r>
    </w:p>
    <w:p w:rsidR="00F0451F" w:rsidRPr="00355D0B" w:rsidRDefault="00F0451F" w:rsidP="00F0451F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Забезпечено виконання плану з усіх видів доходів, крім частини чистого прибутку (доходу) комунальних підприємств, що вилучається до бюджету та земельного податку.</w:t>
      </w:r>
    </w:p>
    <w:p w:rsidR="00F0451F" w:rsidRPr="00355D0B" w:rsidRDefault="00F0451F" w:rsidP="00F0451F">
      <w:pPr>
        <w:tabs>
          <w:tab w:val="left" w:pos="5880"/>
        </w:tabs>
        <w:jc w:val="both"/>
        <w:rPr>
          <w:sz w:val="28"/>
          <w:szCs w:val="28"/>
        </w:rPr>
      </w:pPr>
    </w:p>
    <w:p w:rsidR="00F0451F" w:rsidRPr="00355D0B" w:rsidRDefault="00F0451F" w:rsidP="00F0451F">
      <w:pPr>
        <w:ind w:left="-57" w:right="-93" w:firstLine="76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 1-ше півріччя 2018 року до міського бюджету м. Львова надійшло податку та збору на доходи фізичних осіб  в сумі  1555,1 млн. грн., що складає 110,6 відсотка до плану на шість місяців або більше на 148,7 млн. грн.; </w:t>
      </w:r>
      <w:r w:rsidR="007164BE" w:rsidRPr="00355D0B">
        <w:rPr>
          <w:sz w:val="28"/>
          <w:szCs w:val="28"/>
        </w:rPr>
        <w:t>у</w:t>
      </w:r>
      <w:r w:rsidRPr="00355D0B">
        <w:rPr>
          <w:sz w:val="28"/>
          <w:szCs w:val="28"/>
        </w:rPr>
        <w:t xml:space="preserve"> порівнянні з аналогічним періодом минулого року надійшло на 325,0 млн. грн. більше.</w:t>
      </w:r>
    </w:p>
    <w:p w:rsidR="00F0451F" w:rsidRPr="00355D0B" w:rsidRDefault="00F0451F" w:rsidP="00F0451F">
      <w:pPr>
        <w:ind w:left="-57" w:right="-93" w:firstLine="766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січень-червень 2018 року надійшло 180,9 млн. грн. акцизного податку, що складає 103,0 відсотка до плану на 1-ше півріччя. У порівнянні з відповідним періодом минулого року надійшло на 15,6 млн. грн. більше. Відповідно до постанови КМУ від 28.02.2018 №116 з державного бюджету відшкодовано міському бюджету м. Львова 62,7 млн. грн. акцизного податку з виробленого в Україні та ввезеного на митну територію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України пального. </w:t>
      </w:r>
    </w:p>
    <w:p w:rsidR="00F0451F" w:rsidRPr="00355D0B" w:rsidRDefault="00F0451F" w:rsidP="00F0451F">
      <w:pPr>
        <w:ind w:firstLine="708"/>
        <w:jc w:val="both"/>
        <w:rPr>
          <w:sz w:val="28"/>
          <w:szCs w:val="28"/>
          <w:lang w:val="ru-RU"/>
        </w:rPr>
      </w:pPr>
      <w:r w:rsidRPr="00355D0B">
        <w:rPr>
          <w:sz w:val="28"/>
          <w:szCs w:val="28"/>
        </w:rPr>
        <w:lastRenderedPageBreak/>
        <w:t>Єдиний податок надійшов до міського бюджету в сумі 481,5 млн. грн. при плані 435,1 млн. грн. (110,7 відсотка), або більше на 46,4 млн.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грн. У порівнянні з січнем-червнем минулого року надійшло на </w:t>
      </w:r>
      <w:r w:rsidR="00B86141">
        <w:rPr>
          <w:sz w:val="28"/>
          <w:szCs w:val="28"/>
        </w:rPr>
        <w:t>109,0</w:t>
      </w:r>
      <w:r w:rsidRPr="00355D0B">
        <w:rPr>
          <w:sz w:val="28"/>
          <w:szCs w:val="28"/>
        </w:rPr>
        <w:t xml:space="preserve"> млн. грн. більше.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Місцевих податків надійшло 765,3 млн. грн., що складає 109,6 відсотка до плану на 1-ше півріччя  або більше на 67,2 млн. грн., в тому числі </w:t>
      </w:r>
      <w:r w:rsidR="007164BE" w:rsidRPr="00355D0B">
        <w:rPr>
          <w:sz w:val="28"/>
          <w:szCs w:val="28"/>
        </w:rPr>
        <w:t>у</w:t>
      </w:r>
      <w:r w:rsidRPr="00355D0B">
        <w:rPr>
          <w:sz w:val="28"/>
          <w:szCs w:val="28"/>
        </w:rPr>
        <w:t xml:space="preserve"> розрізі податків і зборів:</w:t>
      </w:r>
    </w:p>
    <w:p w:rsidR="00F0451F" w:rsidRPr="00355D0B" w:rsidRDefault="00F0451F" w:rsidP="007164BE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податок на нерухоме майно, відмінний від земельної ділянки, надійшов у сумі 62,8 млн. грн., що в 1,7 рази більше запланованих надходжень на 6 місяців;  </w:t>
      </w:r>
    </w:p>
    <w:p w:rsidR="00F0451F" w:rsidRPr="00355D0B" w:rsidRDefault="00F0451F" w:rsidP="007164BE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земельний податок -  57,3 млн. грн. при плані на 1-ше півріччя 68,2 млн. грн., що складає 84,0 відсотка або на 10,9 млн. грн. менше. У порівнянні з аналогічним періодом минулого року надходження земельного податку зменшилися на 6,2 млн. грн.; </w:t>
      </w:r>
    </w:p>
    <w:p w:rsidR="00F0451F" w:rsidRPr="00355D0B" w:rsidRDefault="00F0451F" w:rsidP="007164BE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355D0B">
        <w:rPr>
          <w:iCs/>
          <w:sz w:val="28"/>
          <w:szCs w:val="28"/>
        </w:rPr>
        <w:t>орендна плата  -  152,3 млн. грн. або більше на 2,3 млн. грн. до плану на 1-ше півріччя. В порівнянні з відповідним періодом минулого року надходження збільшилися на 11,8 млн. грн.</w:t>
      </w:r>
      <w:r w:rsidRPr="00355D0B">
        <w:rPr>
          <w:sz w:val="28"/>
          <w:szCs w:val="28"/>
        </w:rPr>
        <w:t xml:space="preserve"> </w:t>
      </w:r>
    </w:p>
    <w:p w:rsidR="00F0451F" w:rsidRPr="00355D0B" w:rsidRDefault="00F0451F" w:rsidP="00F0451F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Станом на 01.07.2018 недоїмка з земельного податку становить 13,7 млн. грн. </w:t>
      </w:r>
    </w:p>
    <w:p w:rsidR="00F0451F" w:rsidRPr="00355D0B" w:rsidRDefault="00F0451F" w:rsidP="00F0451F">
      <w:pPr>
        <w:pStyle w:val="aa"/>
        <w:ind w:left="1068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Згідно з даними управління земельних ресурсів станом на 01.0</w:t>
      </w:r>
      <w:r w:rsidRPr="00355D0B">
        <w:rPr>
          <w:sz w:val="28"/>
          <w:szCs w:val="28"/>
          <w:lang w:val="ru-RU"/>
        </w:rPr>
        <w:t>7</w:t>
      </w:r>
      <w:r w:rsidRPr="00355D0B">
        <w:rPr>
          <w:sz w:val="28"/>
          <w:szCs w:val="28"/>
        </w:rPr>
        <w:t xml:space="preserve">.2018 діє 1119 договорів оренди земельних ділянок на суму 254,5 млн. грн. та </w:t>
      </w:r>
      <w:r w:rsidRPr="00355D0B">
        <w:rPr>
          <w:sz w:val="28"/>
          <w:szCs w:val="28"/>
          <w:lang w:val="ru-RU"/>
        </w:rPr>
        <w:t>208</w:t>
      </w:r>
      <w:r w:rsidRPr="00355D0B">
        <w:rPr>
          <w:sz w:val="28"/>
          <w:szCs w:val="28"/>
        </w:rPr>
        <w:t xml:space="preserve"> договорів про земельний сервітут на суму 2,1 млн. грн., сплачено 1,4 млн. грн. відповідно до нарахованої суми на звітний період.</w:t>
      </w:r>
    </w:p>
    <w:p w:rsidR="00F0451F" w:rsidRPr="00355D0B" w:rsidRDefault="00F0451F" w:rsidP="00F0451F">
      <w:pPr>
        <w:ind w:firstLine="709"/>
        <w:jc w:val="both"/>
        <w:rPr>
          <w:rFonts w:eastAsia="MS Mincho"/>
          <w:bCs/>
          <w:sz w:val="28"/>
          <w:szCs w:val="28"/>
        </w:rPr>
      </w:pPr>
      <w:r w:rsidRPr="00355D0B">
        <w:rPr>
          <w:sz w:val="28"/>
          <w:szCs w:val="28"/>
        </w:rPr>
        <w:t xml:space="preserve">Транспортний податок запланований на 1-ше півріччя в сумі </w:t>
      </w:r>
      <w:r w:rsidRPr="00355D0B">
        <w:rPr>
          <w:sz w:val="28"/>
          <w:szCs w:val="28"/>
          <w:lang w:val="ru-RU"/>
        </w:rPr>
        <w:t>2,2</w:t>
      </w:r>
      <w:r w:rsidRPr="00355D0B">
        <w:rPr>
          <w:sz w:val="28"/>
          <w:szCs w:val="28"/>
        </w:rPr>
        <w:t xml:space="preserve"> млн. грн., надійшло 3,9 млн. грн., або в 1,8 рази більше.</w:t>
      </w:r>
    </w:p>
    <w:p w:rsidR="00F0451F" w:rsidRPr="00355D0B" w:rsidRDefault="00F0451F" w:rsidP="00F0451F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Збір за місця для паркування транспортних засобів надійшов у сумі 4,7 млн. грн., що на 1,8 млн.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>грн. більше плану.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Надходження частини чистого прибутку (доходу) комунальних підприємств, що вилучаються до бюджету, заплановано в сумі 1,0 млн. грн., надійшло  0,6 млн. грн. (56,2 відсотка), що менше на 0,4 млн. грн. </w:t>
      </w:r>
    </w:p>
    <w:p w:rsidR="00F0451F" w:rsidRPr="00355D0B" w:rsidRDefault="00F0451F" w:rsidP="00F0451F">
      <w:pPr>
        <w:ind w:firstLine="709"/>
        <w:jc w:val="both"/>
        <w:rPr>
          <w:i/>
          <w:sz w:val="28"/>
          <w:szCs w:val="28"/>
        </w:rPr>
      </w:pPr>
    </w:p>
    <w:p w:rsidR="00F0451F" w:rsidRPr="00355D0B" w:rsidRDefault="00F0451F" w:rsidP="00F0451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Орендна плата за користування цілісним майновим комплексом та іншим майном, що перебуває у комунальній власності, на 1-ше півріччя 2018 року запланована в сумі 27,4 млн. грн., надійшло 42,5 млн. грн. (155,2 відсотка до плану), в тому числі: </w:t>
      </w:r>
    </w:p>
    <w:p w:rsidR="00F0451F" w:rsidRPr="00355D0B" w:rsidRDefault="00F0451F" w:rsidP="00F0451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- від орендної плати за нежитлові приміщення надійшло 24,1 млн. грн. або на 2,5 млн. грн. більше плану;</w:t>
      </w:r>
    </w:p>
    <w:p w:rsidR="00F0451F" w:rsidRPr="00355D0B" w:rsidRDefault="00F0451F" w:rsidP="00F0451F">
      <w:pPr>
        <w:pStyle w:val="1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>- від орендної плати за окремі конструктивні елементи благоустрою – 17,5 млн.</w:t>
      </w:r>
      <w:r w:rsidR="007164BE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>грн.  або на 12,4 млн. грн. більше плану.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>Згідно з даними управління комунальної власності станом на 01.0</w:t>
      </w:r>
      <w:r w:rsidRPr="00355D0B">
        <w:rPr>
          <w:sz w:val="28"/>
          <w:szCs w:val="28"/>
          <w:lang w:val="ru-RU"/>
        </w:rPr>
        <w:t>7</w:t>
      </w:r>
      <w:r w:rsidRPr="00355D0B">
        <w:rPr>
          <w:sz w:val="28"/>
          <w:szCs w:val="28"/>
        </w:rPr>
        <w:t>.201</w:t>
      </w:r>
      <w:r w:rsidRPr="00355D0B">
        <w:rPr>
          <w:sz w:val="28"/>
          <w:szCs w:val="28"/>
          <w:lang w:val="ru-RU"/>
        </w:rPr>
        <w:t xml:space="preserve">8 року </w:t>
      </w:r>
      <w:r w:rsidRPr="00355D0B">
        <w:rPr>
          <w:sz w:val="28"/>
          <w:szCs w:val="28"/>
        </w:rPr>
        <w:t xml:space="preserve">нараховується 2006 діючих договорів оренди майна. </w:t>
      </w:r>
    </w:p>
    <w:p w:rsidR="00355D0B" w:rsidRDefault="00F0451F" w:rsidP="00355D0B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Заборгованість з орендної плати допустили </w:t>
      </w:r>
      <w:r w:rsidRPr="00355D0B">
        <w:rPr>
          <w:sz w:val="28"/>
          <w:szCs w:val="28"/>
          <w:lang w:val="ru-RU"/>
        </w:rPr>
        <w:t>1245</w:t>
      </w:r>
      <w:r w:rsidRPr="00355D0B">
        <w:rPr>
          <w:sz w:val="28"/>
          <w:szCs w:val="28"/>
        </w:rPr>
        <w:t xml:space="preserve"> орендарів на суму </w:t>
      </w:r>
      <w:r w:rsidRPr="00355D0B">
        <w:rPr>
          <w:sz w:val="28"/>
          <w:szCs w:val="28"/>
          <w:lang w:val="ru-RU"/>
        </w:rPr>
        <w:t>52,1</w:t>
      </w:r>
      <w:r w:rsidRPr="00355D0B">
        <w:rPr>
          <w:sz w:val="28"/>
          <w:szCs w:val="28"/>
        </w:rPr>
        <w:t xml:space="preserve"> млн. грн., яка збільшилася у порівнянні з початком року на </w:t>
      </w:r>
      <w:r w:rsidRPr="00355D0B">
        <w:rPr>
          <w:sz w:val="28"/>
          <w:szCs w:val="28"/>
          <w:lang w:val="ru-RU"/>
        </w:rPr>
        <w:t>5,8</w:t>
      </w:r>
      <w:r w:rsidRPr="00355D0B">
        <w:rPr>
          <w:sz w:val="28"/>
          <w:szCs w:val="28"/>
        </w:rPr>
        <w:t xml:space="preserve"> млн. грн. За діючими договорами оренди заборгованість допустили 89 орендарів на суму 20,1 млн. грн., зокрема:</w:t>
      </w:r>
    </w:p>
    <w:p w:rsidR="00F0451F" w:rsidRPr="00355D0B" w:rsidRDefault="00F0451F" w:rsidP="00355D0B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 xml:space="preserve">   млн. грн.</w:t>
      </w:r>
    </w:p>
    <w:p w:rsidR="00F0451F" w:rsidRPr="00355D0B" w:rsidRDefault="00F0451F" w:rsidP="00F0451F">
      <w:pPr>
        <w:spacing w:before="120"/>
        <w:rPr>
          <w:sz w:val="28"/>
          <w:szCs w:val="28"/>
        </w:rPr>
      </w:pPr>
      <w:r w:rsidRPr="00355D0B">
        <w:rPr>
          <w:sz w:val="28"/>
          <w:szCs w:val="28"/>
        </w:rPr>
        <w:t>- ТзОВ “Інтер-Лев”                                                                                         - 6,1</w:t>
      </w:r>
    </w:p>
    <w:p w:rsidR="00F0451F" w:rsidRPr="00355D0B" w:rsidRDefault="00F0451F" w:rsidP="00F0451F">
      <w:pPr>
        <w:spacing w:before="120"/>
        <w:rPr>
          <w:sz w:val="28"/>
          <w:szCs w:val="28"/>
        </w:rPr>
      </w:pPr>
      <w:r w:rsidRPr="00355D0B">
        <w:rPr>
          <w:sz w:val="28"/>
          <w:szCs w:val="28"/>
        </w:rPr>
        <w:t xml:space="preserve">- ТзОВ “Краківський ринок”                                                                         - 3,5               </w:t>
      </w:r>
    </w:p>
    <w:p w:rsidR="00F0451F" w:rsidRPr="00355D0B" w:rsidRDefault="00F0451F" w:rsidP="00F0451F">
      <w:pPr>
        <w:spacing w:before="120"/>
        <w:rPr>
          <w:sz w:val="28"/>
          <w:szCs w:val="28"/>
        </w:rPr>
      </w:pPr>
      <w:r w:rsidRPr="00355D0B">
        <w:rPr>
          <w:sz w:val="28"/>
          <w:szCs w:val="28"/>
        </w:rPr>
        <w:t xml:space="preserve">- СПД  Мачеус О.В.                                                 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 xml:space="preserve">           - 3,5</w:t>
      </w:r>
    </w:p>
    <w:p w:rsidR="00F0451F" w:rsidRPr="00355D0B" w:rsidRDefault="00F0451F" w:rsidP="00F0451F">
      <w:pPr>
        <w:spacing w:before="120"/>
        <w:rPr>
          <w:sz w:val="28"/>
          <w:szCs w:val="28"/>
        </w:rPr>
      </w:pPr>
      <w:r w:rsidRPr="00355D0B">
        <w:rPr>
          <w:sz w:val="28"/>
          <w:szCs w:val="28"/>
        </w:rPr>
        <w:t>- Монтажник-Львів МОУ                                                                              - 1,1</w:t>
      </w:r>
    </w:p>
    <w:p w:rsidR="00F0451F" w:rsidRPr="00355D0B" w:rsidRDefault="00F0451F" w:rsidP="00F0451F">
      <w:pPr>
        <w:spacing w:before="120"/>
        <w:rPr>
          <w:sz w:val="28"/>
          <w:szCs w:val="28"/>
        </w:rPr>
      </w:pPr>
      <w:r w:rsidRPr="00355D0B">
        <w:rPr>
          <w:sz w:val="28"/>
          <w:szCs w:val="28"/>
        </w:rPr>
        <w:t>- ПАТ Оксі банк                                                                                              - 0,2</w:t>
      </w:r>
    </w:p>
    <w:p w:rsidR="00355D0B" w:rsidRDefault="00355D0B" w:rsidP="00F0451F">
      <w:pPr>
        <w:ind w:firstLine="709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Інших надходжень на 1-ше півріччя заплановано 18,3 млн. грн., надійшло 19,1 млн. грн., з них 12,9 млн. грн. – плата за тимчасове користування місцями для розміщення зовнішньої реклами при плані 13,5 млн. грн. 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січень-червень поточного року проведено 134 засідання комісій з питань координації роботи, спрямованої на скорочення заборгованості з податків і зборів (обов'язкових платежів) до бюджету та погашення заборгованості з виплати заробітної плати, на яких заслухано 855-х керівників підприємств та організацій міста. Проведено 4 виїзди членів комісій на підприємства міста.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Внаслідок засідань комісій погашено заборгованість із виплати заробітної плати в сумі 5,5 млн. грн., додатково до бюджету надійшло податку і збору на доходи фізичних  осіб 1,0 млн. грн.</w:t>
      </w:r>
    </w:p>
    <w:p w:rsidR="00F0451F" w:rsidRPr="00355D0B" w:rsidRDefault="00F0451F" w:rsidP="00F0451F">
      <w:pPr>
        <w:ind w:firstLine="709"/>
        <w:jc w:val="both"/>
        <w:rPr>
          <w:sz w:val="28"/>
          <w:szCs w:val="28"/>
        </w:rPr>
      </w:pPr>
    </w:p>
    <w:p w:rsidR="00D72BEB" w:rsidRPr="00355D0B" w:rsidRDefault="00D72BEB" w:rsidP="00D72BEB">
      <w:pPr>
        <w:pStyle w:val="af3"/>
        <w:tabs>
          <w:tab w:val="clear" w:pos="5387"/>
        </w:tabs>
        <w:spacing w:after="0"/>
        <w:rPr>
          <w:sz w:val="28"/>
          <w:szCs w:val="28"/>
          <w:lang w:val="uk-UA"/>
        </w:rPr>
      </w:pPr>
      <w:r w:rsidRPr="00355D0B">
        <w:rPr>
          <w:b/>
          <w:sz w:val="28"/>
          <w:szCs w:val="28"/>
        </w:rPr>
        <w:t>Видатки</w:t>
      </w:r>
      <w:r w:rsidRPr="00355D0B">
        <w:rPr>
          <w:sz w:val="28"/>
          <w:szCs w:val="28"/>
        </w:rPr>
        <w:t xml:space="preserve"> міського бюджету м. Львова на 2018 рік заплановані із змінами в сумі 102</w:t>
      </w:r>
      <w:r w:rsidRPr="00355D0B">
        <w:rPr>
          <w:sz w:val="28"/>
          <w:szCs w:val="28"/>
          <w:lang w:val="uk-UA"/>
        </w:rPr>
        <w:t>91,</w:t>
      </w:r>
      <w:r w:rsidRPr="00355D0B">
        <w:rPr>
          <w:sz w:val="28"/>
          <w:szCs w:val="28"/>
        </w:rPr>
        <w:t xml:space="preserve">2 млн. грн., в тому числі видатки загального фонду – </w:t>
      </w:r>
      <w:r w:rsidRPr="00355D0B">
        <w:rPr>
          <w:sz w:val="28"/>
          <w:szCs w:val="28"/>
          <w:lang w:val="uk-UA"/>
        </w:rPr>
        <w:t>7786,7</w:t>
      </w:r>
      <w:r w:rsidRPr="00355D0B">
        <w:rPr>
          <w:sz w:val="28"/>
          <w:szCs w:val="28"/>
        </w:rPr>
        <w:t xml:space="preserve"> млн. грн., спеціального фонду – </w:t>
      </w:r>
      <w:r w:rsidRPr="00355D0B">
        <w:rPr>
          <w:sz w:val="28"/>
          <w:szCs w:val="28"/>
          <w:lang w:val="uk-UA"/>
        </w:rPr>
        <w:t>2504,5</w:t>
      </w:r>
      <w:r w:rsidRPr="00355D0B">
        <w:rPr>
          <w:sz w:val="28"/>
          <w:szCs w:val="28"/>
        </w:rPr>
        <w:t xml:space="preserve"> млн. грн.</w:t>
      </w:r>
      <w:r w:rsidRPr="00355D0B">
        <w:rPr>
          <w:sz w:val="28"/>
          <w:szCs w:val="28"/>
          <w:lang w:val="uk-UA"/>
        </w:rPr>
        <w:t xml:space="preserve"> В обсязі видатків загального фонду враховано реверсну дотацію в сумі 336,1 млн. грн., видатки за рахунок освітньої субвенції – 766,2 млн. грн.,  медичної субвенції – 603,2 млн. грн., субвенцій на програми соціального захисту – 2384,6 млн. грн., субвенцій на програми охорони здоров’я – 32,6 млн. грн., а також молодіжне кредитування – 8,95 млн. грн. </w:t>
      </w:r>
    </w:p>
    <w:p w:rsidR="00D72BEB" w:rsidRPr="00355D0B" w:rsidRDefault="00D72BEB" w:rsidP="00D72BEB">
      <w:pPr>
        <w:ind w:right="-3" w:firstLine="709"/>
        <w:jc w:val="both"/>
        <w:rPr>
          <w:sz w:val="28"/>
          <w:szCs w:val="28"/>
        </w:rPr>
      </w:pPr>
      <w:r w:rsidRPr="00355D0B">
        <w:rPr>
          <w:bCs/>
          <w:sz w:val="28"/>
          <w:szCs w:val="28"/>
        </w:rPr>
        <w:t>Видатки</w:t>
      </w:r>
      <w:r w:rsidRPr="00355D0B">
        <w:rPr>
          <w:sz w:val="28"/>
          <w:szCs w:val="28"/>
        </w:rPr>
        <w:t xml:space="preserve">  загального  фонду  міського  бюджету  м. Львова  за  1-ше півріччя 2018  року проведені в сумі 3851,8 млн. грн., що становить 92,2 відсотки  до плану з урахуванням змін на цей період (4179,9 млн. грн.), в тому числі за рахунок субвенцій з державного бюджету проведено 2224,9 млн. грн., що складає 99,3 відсотка до плану з урахуванням змін на відповідний період (2239,8 млн. грн.).</w:t>
      </w:r>
    </w:p>
    <w:p w:rsidR="002C62C3" w:rsidRPr="00355D0B" w:rsidRDefault="002C62C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0D6EC0" w:rsidRPr="00355D0B" w:rsidRDefault="000D6EC0" w:rsidP="000D6EC0">
      <w:pPr>
        <w:ind w:left="142" w:right="-22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>У міському бюджеті м. Львова на 201</w:t>
      </w:r>
      <w:r w:rsidRPr="00355D0B">
        <w:rPr>
          <w:sz w:val="28"/>
          <w:szCs w:val="28"/>
          <w:lang w:val="ru-RU"/>
        </w:rPr>
        <w:t xml:space="preserve">8 </w:t>
      </w:r>
      <w:r w:rsidRPr="00355D0B">
        <w:rPr>
          <w:sz w:val="28"/>
          <w:szCs w:val="28"/>
        </w:rPr>
        <w:t xml:space="preserve">рік на утримання установ </w:t>
      </w:r>
      <w:r w:rsidRPr="00355D0B">
        <w:rPr>
          <w:b/>
          <w:bCs/>
          <w:sz w:val="28"/>
          <w:szCs w:val="28"/>
        </w:rPr>
        <w:t>соціально-культурної сфери</w:t>
      </w:r>
      <w:r w:rsidRPr="00355D0B">
        <w:rPr>
          <w:sz w:val="28"/>
          <w:szCs w:val="28"/>
        </w:rPr>
        <w:t xml:space="preserve"> заплановані видатки в сумі </w:t>
      </w:r>
      <w:r w:rsidRPr="00355D0B">
        <w:rPr>
          <w:sz w:val="28"/>
          <w:szCs w:val="28"/>
          <w:lang w:val="ru-RU"/>
        </w:rPr>
        <w:t>3373,5</w:t>
      </w:r>
      <w:r w:rsidRPr="00355D0B">
        <w:rPr>
          <w:sz w:val="28"/>
          <w:szCs w:val="28"/>
        </w:rPr>
        <w:t xml:space="preserve"> млн. грн., виконано 1688,5 млн. грн. або 50,1 відсотка до річного плану. Видатки на заробітну плату з нарахуваннями працівникам установ соціально-культурної сфери проведені в сумі 1303,8 млн. грн., на комунальні послуги  та енергоносії – 153,1 млн. грн., що складає відповідно 77,2 та 9,1 відсотка у загальній сумі видатків на утримання установ соцкультсфери.</w:t>
      </w:r>
    </w:p>
    <w:p w:rsidR="000D6EC0" w:rsidRPr="00355D0B" w:rsidRDefault="000D6EC0" w:rsidP="000D6EC0">
      <w:pPr>
        <w:ind w:left="142" w:right="-223"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ind w:left="142" w:right="-22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 На утримання установ </w:t>
      </w:r>
      <w:r w:rsidRPr="00355D0B">
        <w:rPr>
          <w:b/>
          <w:bCs/>
          <w:sz w:val="28"/>
          <w:szCs w:val="28"/>
        </w:rPr>
        <w:t>освіти</w:t>
      </w:r>
      <w:r w:rsidRPr="00355D0B">
        <w:rPr>
          <w:sz w:val="28"/>
          <w:szCs w:val="28"/>
        </w:rPr>
        <w:t xml:space="preserve"> в бюджеті м. Львова на 2018 рік заплановані видатки в сумі 2267,3 млн. грн., у тому числі за рахунок освітньої субвенції з держбюджету 766,2 млн. грн. Виконано за звітний період 1157,8 млн. грн. або 51,1 відсотка до плану на рік.</w:t>
      </w:r>
    </w:p>
    <w:p w:rsidR="000D6EC0" w:rsidRPr="00355D0B" w:rsidRDefault="000D6EC0" w:rsidP="000D6EC0">
      <w:pPr>
        <w:ind w:left="142" w:right="-22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 Видатки на заробітну плату з нарахуваннями проведені в сумі 927,7 млн. грн. або 52,2 відсотка до плану на рік; на комунальні послуги та енергоносії – 123,4 млн. грн. (59,5 відсотка до плану на рік ). </w:t>
      </w:r>
    </w:p>
    <w:p w:rsidR="000D6EC0" w:rsidRPr="00355D0B" w:rsidRDefault="000D6EC0" w:rsidP="000D6EC0">
      <w:pPr>
        <w:ind w:left="142" w:right="-22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Протягом 1-го півріччя здійснювалось харчування 57653 дітей різних категорій на загальну суму 63,0 млн. грн. </w:t>
      </w:r>
    </w:p>
    <w:p w:rsidR="004D78B3" w:rsidRPr="00355D0B" w:rsidRDefault="004D78B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8418BD" w:rsidRPr="00355D0B" w:rsidRDefault="000D6EC0" w:rsidP="008418BD">
      <w:pPr>
        <w:ind w:right="-3"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На </w:t>
      </w:r>
      <w:r w:rsidRPr="00355D0B">
        <w:rPr>
          <w:b/>
          <w:bCs/>
          <w:sz w:val="28"/>
          <w:szCs w:val="28"/>
        </w:rPr>
        <w:t>охорону здоров’я</w:t>
      </w:r>
      <w:r w:rsidRPr="00355D0B">
        <w:rPr>
          <w:sz w:val="28"/>
          <w:szCs w:val="28"/>
        </w:rPr>
        <w:t xml:space="preserve"> видатки на 2018 рік затверджені в сумі 922,8 млн. грн.</w:t>
      </w:r>
      <w:r w:rsidR="008418BD" w:rsidRPr="00355D0B">
        <w:rPr>
          <w:sz w:val="28"/>
          <w:szCs w:val="28"/>
        </w:rPr>
        <w:t xml:space="preserve"> З них за рахунок медичної субвенції з державного бюджету заплановано                   603,</w:t>
      </w:r>
      <w:r w:rsidR="008418BD" w:rsidRPr="00355D0B">
        <w:rPr>
          <w:sz w:val="28"/>
          <w:szCs w:val="28"/>
          <w:lang w:val="ru-RU"/>
        </w:rPr>
        <w:t>2</w:t>
      </w:r>
      <w:r w:rsidR="008418BD" w:rsidRPr="00355D0B">
        <w:rPr>
          <w:sz w:val="28"/>
          <w:szCs w:val="28"/>
        </w:rPr>
        <w:t xml:space="preserve"> млн. грн., за рахунок коштів міського бюджету – 286,2 млн. грн. Для забезпечення програм та централізованих заходів у сфері охорони здоров’я заплановано 31,9 млн. грн. за рахунок субвенцій з державного бюджету.</w:t>
      </w:r>
    </w:p>
    <w:p w:rsidR="000D6EC0" w:rsidRPr="00355D0B" w:rsidRDefault="000D6EC0" w:rsidP="000D6EC0">
      <w:pPr>
        <w:ind w:right="-3" w:firstLine="567"/>
        <w:jc w:val="both"/>
        <w:rPr>
          <w:color w:val="FF0000"/>
          <w:sz w:val="28"/>
          <w:szCs w:val="28"/>
        </w:rPr>
      </w:pPr>
      <w:r w:rsidRPr="00355D0B">
        <w:rPr>
          <w:sz w:val="28"/>
          <w:szCs w:val="28"/>
        </w:rPr>
        <w:t xml:space="preserve">З обласного бюджету надійшла субвенція в розмірі 0,6 млн. грн. на  виконання Комплексної програми надання медичної допомоги мешканцям Львівської області. </w:t>
      </w:r>
      <w:r w:rsidRPr="00355D0B">
        <w:rPr>
          <w:color w:val="FF0000"/>
          <w:sz w:val="28"/>
          <w:szCs w:val="28"/>
        </w:rPr>
        <w:t xml:space="preserve"> </w:t>
      </w:r>
    </w:p>
    <w:p w:rsidR="000D6EC0" w:rsidRPr="00355D0B" w:rsidRDefault="000D6EC0" w:rsidP="000D6EC0">
      <w:pPr>
        <w:ind w:right="-3" w:firstLine="567"/>
        <w:jc w:val="both"/>
        <w:rPr>
          <w:color w:val="FF0000"/>
          <w:sz w:val="28"/>
          <w:szCs w:val="28"/>
        </w:rPr>
      </w:pPr>
      <w:r w:rsidRPr="00355D0B">
        <w:rPr>
          <w:sz w:val="28"/>
          <w:szCs w:val="28"/>
        </w:rPr>
        <w:t>У 1-му півріччі використано 456,7 млн. грн., що становить 49,5 відсотків до затвердженого плану на рік, та 89,8 відсотки до плану на 1-ше півріччя.</w:t>
      </w:r>
    </w:p>
    <w:p w:rsidR="000D6EC0" w:rsidRPr="00355D0B" w:rsidRDefault="000D6EC0" w:rsidP="000D6EC0">
      <w:pPr>
        <w:ind w:right="-3"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За інформацією управління охорони здоров</w:t>
      </w:r>
      <w:r w:rsidRPr="00355D0B">
        <w:rPr>
          <w:sz w:val="28"/>
          <w:szCs w:val="28"/>
          <w:lang w:val="ru-RU"/>
        </w:rPr>
        <w:t>’</w:t>
      </w:r>
      <w:r w:rsidRPr="00355D0B">
        <w:rPr>
          <w:sz w:val="28"/>
          <w:szCs w:val="28"/>
        </w:rPr>
        <w:t>я на оплату праці з нарахуваннями використано 345</w:t>
      </w:r>
      <w:r w:rsidRPr="00355D0B">
        <w:rPr>
          <w:sz w:val="28"/>
          <w:szCs w:val="28"/>
          <w:lang w:val="ru-RU"/>
        </w:rPr>
        <w:t>,7</w:t>
      </w:r>
      <w:r w:rsidRPr="00355D0B">
        <w:rPr>
          <w:sz w:val="28"/>
          <w:szCs w:val="28"/>
        </w:rPr>
        <w:t xml:space="preserve"> млн. грн., комунальні послуги та енергоносії – 26,9 млн. грн. Питома вага видатків на оплату праці з нарахуваннями та енергоносії  становить 81,6 відсотка у загальній сумі видатків за 1-ше півріччя. На медикаменти та перев’язувальні матеріали спрямовано 22</w:t>
      </w:r>
      <w:r w:rsidRPr="00355D0B">
        <w:rPr>
          <w:sz w:val="28"/>
          <w:szCs w:val="28"/>
          <w:lang w:val="ru-RU"/>
        </w:rPr>
        <w:t>,2</w:t>
      </w:r>
      <w:r w:rsidRPr="00355D0B">
        <w:rPr>
          <w:sz w:val="28"/>
          <w:szCs w:val="28"/>
        </w:rPr>
        <w:t xml:space="preserve"> млн. грн., на продукти харчування – 5,6 млн. грн.</w:t>
      </w:r>
    </w:p>
    <w:p w:rsidR="000D6EC0" w:rsidRPr="00355D0B" w:rsidRDefault="000D6EC0" w:rsidP="000D6EC0">
      <w:pPr>
        <w:ind w:right="-3"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 6 місяців поточного року медичними закладами проліковано 4373 хворих з інших районів та міст області на загальну суму </w:t>
      </w:r>
      <w:r w:rsidRPr="00355D0B">
        <w:rPr>
          <w:sz w:val="28"/>
          <w:szCs w:val="28"/>
          <w:lang w:val="ru-RU"/>
        </w:rPr>
        <w:t>16</w:t>
      </w:r>
      <w:r w:rsidRPr="00355D0B">
        <w:rPr>
          <w:sz w:val="28"/>
          <w:szCs w:val="28"/>
        </w:rPr>
        <w:t>,1 млн. грн.</w:t>
      </w:r>
      <w:r w:rsidRPr="00355D0B">
        <w:rPr>
          <w:sz w:val="28"/>
          <w:szCs w:val="28"/>
          <w:lang w:val="ru-RU"/>
        </w:rPr>
        <w:t xml:space="preserve"> Відповідно до укладених угод заплановано лікування 1686 хворих на 5,4 млн</w:t>
      </w:r>
      <w:r w:rsidRPr="00355D0B">
        <w:rPr>
          <w:sz w:val="28"/>
          <w:szCs w:val="28"/>
        </w:rPr>
        <w:t>. грн. Із запланованої суми  субвенцій з інших міст та районів області 821,2 тис. грн. надійшло за звітний період 152,8 тис. грн.</w:t>
      </w:r>
    </w:p>
    <w:p w:rsidR="000D6EC0" w:rsidRPr="00355D0B" w:rsidRDefault="000D6EC0" w:rsidP="00B15CE8">
      <w:pPr>
        <w:ind w:right="-3" w:firstLine="709"/>
        <w:jc w:val="both"/>
        <w:rPr>
          <w:color w:val="FF0000"/>
          <w:sz w:val="28"/>
          <w:szCs w:val="28"/>
        </w:rPr>
      </w:pP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355D0B">
        <w:rPr>
          <w:b/>
          <w:bCs/>
          <w:spacing w:val="-7"/>
          <w:sz w:val="28"/>
          <w:szCs w:val="28"/>
        </w:rPr>
        <w:t>культури і мистецтва</w:t>
      </w:r>
      <w:r w:rsidRPr="00355D0B">
        <w:rPr>
          <w:bCs/>
          <w:spacing w:val="-7"/>
          <w:sz w:val="28"/>
          <w:szCs w:val="28"/>
        </w:rPr>
        <w:t xml:space="preserve"> </w:t>
      </w:r>
      <w:r w:rsidRPr="00355D0B">
        <w:rPr>
          <w:spacing w:val="-7"/>
          <w:sz w:val="28"/>
          <w:szCs w:val="28"/>
        </w:rPr>
        <w:t xml:space="preserve"> на  201</w:t>
      </w:r>
      <w:r w:rsidRPr="00355D0B">
        <w:rPr>
          <w:spacing w:val="-7"/>
          <w:sz w:val="28"/>
          <w:szCs w:val="28"/>
          <w:lang w:val="ru-RU"/>
        </w:rPr>
        <w:t xml:space="preserve">8  </w:t>
      </w:r>
      <w:r w:rsidRPr="00355D0B">
        <w:rPr>
          <w:spacing w:val="-7"/>
          <w:sz w:val="28"/>
          <w:szCs w:val="28"/>
        </w:rPr>
        <w:t xml:space="preserve">рік  складає </w:t>
      </w:r>
      <w:r w:rsidRPr="00355D0B">
        <w:rPr>
          <w:spacing w:val="-7"/>
          <w:sz w:val="28"/>
          <w:szCs w:val="28"/>
          <w:lang w:val="ru-RU"/>
        </w:rPr>
        <w:t>120</w:t>
      </w:r>
      <w:r w:rsidRPr="00355D0B">
        <w:rPr>
          <w:spacing w:val="-7"/>
          <w:sz w:val="28"/>
          <w:szCs w:val="28"/>
        </w:rPr>
        <w:t xml:space="preserve">,5 млн. грн.  Виконано  за  звітний  період  51,1 </w:t>
      </w:r>
      <w:r w:rsidRPr="00355D0B">
        <w:rPr>
          <w:spacing w:val="-7"/>
          <w:sz w:val="28"/>
          <w:szCs w:val="28"/>
        </w:rPr>
        <w:lastRenderedPageBreak/>
        <w:t xml:space="preserve">млн. грн.,  або </w:t>
      </w:r>
      <w:r w:rsidRPr="00355D0B">
        <w:rPr>
          <w:spacing w:val="-7"/>
          <w:sz w:val="28"/>
          <w:szCs w:val="28"/>
          <w:lang w:val="ru-RU"/>
        </w:rPr>
        <w:t>42,4</w:t>
      </w:r>
      <w:r w:rsidRPr="00355D0B">
        <w:rPr>
          <w:spacing w:val="-7"/>
          <w:sz w:val="28"/>
          <w:szCs w:val="28"/>
        </w:rPr>
        <w:t xml:space="preserve"> відсотка до уточнених річних асигнувань. Видатки на заробітну плату з нарахуваннями проведені в сумі 20,6 млн. грн., на оплату енергоносіїв та комунальних послуг – </w:t>
      </w:r>
      <w:r w:rsidRPr="00355D0B">
        <w:rPr>
          <w:spacing w:val="-7"/>
          <w:sz w:val="28"/>
          <w:szCs w:val="28"/>
          <w:lang w:val="ru-RU"/>
        </w:rPr>
        <w:t xml:space="preserve">2,3 </w:t>
      </w:r>
      <w:r w:rsidRPr="00355D0B">
        <w:rPr>
          <w:spacing w:val="-7"/>
          <w:sz w:val="28"/>
          <w:szCs w:val="28"/>
        </w:rPr>
        <w:t xml:space="preserve">млн. грн., </w:t>
      </w:r>
      <w:r w:rsidRPr="00355D0B">
        <w:rPr>
          <w:sz w:val="28"/>
          <w:szCs w:val="28"/>
        </w:rPr>
        <w:t>що складає 44,9 відсотка у загальній сумі видатків на галузь у 1-у півріччі.</w:t>
      </w:r>
    </w:p>
    <w:p w:rsidR="000D6EC0" w:rsidRPr="00355D0B" w:rsidRDefault="000D6EC0" w:rsidP="000D6EC0">
      <w:pPr>
        <w:ind w:right="-3" w:firstLine="709"/>
        <w:jc w:val="both"/>
        <w:rPr>
          <w:spacing w:val="-9"/>
          <w:sz w:val="28"/>
          <w:szCs w:val="28"/>
        </w:rPr>
      </w:pPr>
      <w:r w:rsidRPr="00355D0B">
        <w:rPr>
          <w:spacing w:val="-7"/>
          <w:sz w:val="28"/>
          <w:szCs w:val="28"/>
        </w:rPr>
        <w:t>Н</w:t>
      </w:r>
      <w:r w:rsidRPr="00355D0B">
        <w:rPr>
          <w:spacing w:val="-5"/>
          <w:sz w:val="28"/>
          <w:szCs w:val="28"/>
        </w:rPr>
        <w:t xml:space="preserve">адано фінансову підтримку 11-ти установам </w:t>
      </w:r>
      <w:r w:rsidRPr="00355D0B">
        <w:rPr>
          <w:spacing w:val="-9"/>
          <w:sz w:val="28"/>
          <w:szCs w:val="28"/>
        </w:rPr>
        <w:t xml:space="preserve">на суму 24,8 млн. грн. </w:t>
      </w:r>
    </w:p>
    <w:p w:rsidR="000D6EC0" w:rsidRPr="00355D0B" w:rsidRDefault="000D6EC0" w:rsidP="000D6EC0">
      <w:pPr>
        <w:shd w:val="clear" w:color="auto" w:fill="FFFFFF"/>
        <w:spacing w:line="317" w:lineRule="exact"/>
        <w:ind w:right="-3" w:firstLine="709"/>
        <w:jc w:val="both"/>
        <w:rPr>
          <w:spacing w:val="-8"/>
          <w:sz w:val="28"/>
          <w:szCs w:val="28"/>
        </w:rPr>
      </w:pPr>
      <w:r w:rsidRPr="00355D0B">
        <w:rPr>
          <w:spacing w:val="-5"/>
          <w:sz w:val="28"/>
          <w:szCs w:val="28"/>
        </w:rPr>
        <w:t xml:space="preserve">На загальноміські заходи з відзначення державних і національних свят </w:t>
      </w:r>
      <w:r w:rsidRPr="00355D0B">
        <w:rPr>
          <w:spacing w:val="-8"/>
          <w:sz w:val="28"/>
          <w:szCs w:val="28"/>
        </w:rPr>
        <w:t xml:space="preserve">спрямовано  2,0 млн. грн. </w:t>
      </w:r>
    </w:p>
    <w:p w:rsidR="000D6EC0" w:rsidRPr="00355D0B" w:rsidRDefault="000D6EC0" w:rsidP="000D6EC0">
      <w:pPr>
        <w:shd w:val="clear" w:color="auto" w:fill="FFFFFF"/>
        <w:spacing w:line="317" w:lineRule="exact"/>
        <w:ind w:right="-3" w:firstLine="709"/>
        <w:jc w:val="both"/>
        <w:rPr>
          <w:color w:val="FF0000"/>
          <w:spacing w:val="-7"/>
          <w:sz w:val="28"/>
          <w:szCs w:val="28"/>
        </w:rPr>
      </w:pP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355D0B">
        <w:rPr>
          <w:b/>
          <w:sz w:val="28"/>
          <w:szCs w:val="28"/>
        </w:rPr>
        <w:t xml:space="preserve">фізичної культури та спорту </w:t>
      </w:r>
      <w:r w:rsidRPr="00355D0B">
        <w:rPr>
          <w:sz w:val="28"/>
          <w:szCs w:val="28"/>
        </w:rPr>
        <w:t xml:space="preserve">на 2018 рік складає 63,1 млн. грн.  Виконано за звітний період  </w:t>
      </w:r>
      <w:r w:rsidRPr="00355D0B">
        <w:rPr>
          <w:sz w:val="28"/>
          <w:szCs w:val="28"/>
          <w:lang w:val="ru-RU"/>
        </w:rPr>
        <w:t>23,0</w:t>
      </w:r>
      <w:r w:rsidRPr="00355D0B">
        <w:rPr>
          <w:sz w:val="28"/>
          <w:szCs w:val="28"/>
        </w:rPr>
        <w:t xml:space="preserve"> млн. грн.  або  36,4  відсотка  до плану на рік. Видатки  на  заробітну  плату  з  нарахуваннями проведені в сумі 9,7 млн. грн., на оплату енергоносіїв та комунальних послуг – 0,4 млн. грн., що складає 44,1 відсотка у загальній сумі видатків на галузь у 1-у півріччі.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Надано фінансову підтримку 14 ДЮСШ на загальну суму 19,1 млн. грн.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підтримку спортивних споруд використано 2,7 млн. грн.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</w:p>
    <w:p w:rsidR="008418BD" w:rsidRPr="00355D0B" w:rsidRDefault="008418BD" w:rsidP="008418BD">
      <w:pPr>
        <w:shd w:val="clear" w:color="auto" w:fill="FFFFFF"/>
        <w:spacing w:line="317" w:lineRule="exact"/>
        <w:ind w:right="-3" w:firstLine="709"/>
        <w:jc w:val="both"/>
        <w:rPr>
          <w:spacing w:val="-7"/>
          <w:sz w:val="28"/>
          <w:szCs w:val="28"/>
        </w:rPr>
      </w:pPr>
      <w:r w:rsidRPr="00355D0B">
        <w:rPr>
          <w:spacing w:val="-8"/>
          <w:sz w:val="28"/>
          <w:szCs w:val="28"/>
        </w:rPr>
        <w:t>Н</w:t>
      </w:r>
      <w:r w:rsidRPr="00355D0B">
        <w:rPr>
          <w:sz w:val="28"/>
          <w:szCs w:val="28"/>
        </w:rPr>
        <w:t xml:space="preserve">а фінансування програмних заходів розвитку </w:t>
      </w:r>
      <w:r w:rsidRPr="00355D0B">
        <w:rPr>
          <w:b/>
          <w:sz w:val="28"/>
          <w:szCs w:val="28"/>
        </w:rPr>
        <w:t>туризму</w:t>
      </w:r>
      <w:r w:rsidRPr="00355D0B">
        <w:rPr>
          <w:sz w:val="28"/>
          <w:szCs w:val="28"/>
        </w:rPr>
        <w:t xml:space="preserve"> у м. Львові на рік заплановано </w:t>
      </w:r>
      <w:r w:rsidRPr="00355D0B">
        <w:rPr>
          <w:sz w:val="28"/>
          <w:szCs w:val="28"/>
          <w:lang w:val="ru-RU"/>
        </w:rPr>
        <w:t>5,2</w:t>
      </w:r>
      <w:r w:rsidRPr="00355D0B">
        <w:rPr>
          <w:sz w:val="28"/>
          <w:szCs w:val="28"/>
        </w:rPr>
        <w:t xml:space="preserve"> млн. грн., виконано 1,9 млн. грн. </w:t>
      </w:r>
      <w:r w:rsidRPr="00355D0B">
        <w:rPr>
          <w:spacing w:val="-7"/>
          <w:sz w:val="28"/>
          <w:szCs w:val="28"/>
        </w:rPr>
        <w:t>або 36,5 відсотка до уточненого плану на рік.</w:t>
      </w:r>
    </w:p>
    <w:p w:rsidR="008418BD" w:rsidRPr="00355D0B" w:rsidRDefault="008418BD" w:rsidP="000D6EC0">
      <w:pPr>
        <w:ind w:right="-3"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shd w:val="clear" w:color="auto" w:fill="FFFFFF"/>
        <w:spacing w:line="317" w:lineRule="exact"/>
        <w:ind w:right="-3" w:firstLine="709"/>
        <w:jc w:val="both"/>
        <w:rPr>
          <w:sz w:val="28"/>
          <w:szCs w:val="28"/>
          <w:lang w:val="ru-RU"/>
        </w:rPr>
      </w:pPr>
      <w:r w:rsidRPr="00355D0B">
        <w:rPr>
          <w:spacing w:val="-8"/>
          <w:sz w:val="28"/>
          <w:szCs w:val="28"/>
        </w:rPr>
        <w:t>Видатки на</w:t>
      </w:r>
      <w:r w:rsidRPr="00355D0B">
        <w:rPr>
          <w:sz w:val="28"/>
          <w:szCs w:val="28"/>
        </w:rPr>
        <w:t xml:space="preserve"> </w:t>
      </w:r>
      <w:r w:rsidRPr="00355D0B">
        <w:rPr>
          <w:b/>
          <w:sz w:val="28"/>
          <w:szCs w:val="28"/>
        </w:rPr>
        <w:t>підтримку періодичних видань</w:t>
      </w:r>
      <w:r w:rsidRPr="00355D0B">
        <w:rPr>
          <w:sz w:val="28"/>
          <w:szCs w:val="28"/>
        </w:rPr>
        <w:t xml:space="preserve"> за 1-ше півріччя склали 0,9 млн. грн. </w:t>
      </w:r>
      <w:r w:rsidRPr="00355D0B">
        <w:rPr>
          <w:spacing w:val="-7"/>
          <w:sz w:val="28"/>
          <w:szCs w:val="28"/>
        </w:rPr>
        <w:t>або 97,8 відсотка до уточненого плану на звітний період</w:t>
      </w:r>
      <w:bookmarkStart w:id="0" w:name="_GoBack"/>
      <w:bookmarkEnd w:id="0"/>
      <w:r w:rsidRPr="00355D0B">
        <w:rPr>
          <w:spacing w:val="-7"/>
          <w:sz w:val="28"/>
          <w:szCs w:val="28"/>
        </w:rPr>
        <w:t>.</w:t>
      </w:r>
    </w:p>
    <w:p w:rsidR="0057622D" w:rsidRPr="00355D0B" w:rsidRDefault="0057622D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0D6EC0" w:rsidRPr="00355D0B" w:rsidRDefault="000D6EC0" w:rsidP="000D6EC0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355D0B">
        <w:rPr>
          <w:bCs/>
          <w:spacing w:val="-1"/>
          <w:w w:val="101"/>
          <w:sz w:val="28"/>
          <w:szCs w:val="28"/>
        </w:rPr>
        <w:t xml:space="preserve">Видатки на </w:t>
      </w:r>
      <w:r w:rsidRPr="00355D0B">
        <w:rPr>
          <w:b/>
          <w:bCs/>
          <w:spacing w:val="-1"/>
          <w:w w:val="101"/>
          <w:sz w:val="28"/>
          <w:szCs w:val="28"/>
        </w:rPr>
        <w:t xml:space="preserve">соціальний захист та соціальне забезпечення </w:t>
      </w:r>
      <w:r w:rsidRPr="00355D0B">
        <w:rPr>
          <w:spacing w:val="-1"/>
          <w:w w:val="101"/>
          <w:sz w:val="28"/>
          <w:szCs w:val="28"/>
        </w:rPr>
        <w:t xml:space="preserve">за </w:t>
      </w:r>
      <w:r w:rsidR="008418BD" w:rsidRPr="00355D0B">
        <w:rPr>
          <w:spacing w:val="-1"/>
          <w:w w:val="101"/>
          <w:sz w:val="28"/>
          <w:szCs w:val="28"/>
        </w:rPr>
        <w:t>1</w:t>
      </w:r>
      <w:r w:rsidRPr="00355D0B">
        <w:rPr>
          <w:spacing w:val="-1"/>
          <w:w w:val="101"/>
          <w:sz w:val="28"/>
          <w:szCs w:val="28"/>
          <w:lang w:val="ru-RU"/>
        </w:rPr>
        <w:t>-</w:t>
      </w:r>
      <w:r w:rsidRPr="00355D0B">
        <w:rPr>
          <w:spacing w:val="-1"/>
          <w:w w:val="101"/>
          <w:sz w:val="28"/>
          <w:szCs w:val="28"/>
        </w:rPr>
        <w:t>ше півріччя 201</w:t>
      </w:r>
      <w:r w:rsidRPr="00355D0B">
        <w:rPr>
          <w:spacing w:val="-1"/>
          <w:w w:val="101"/>
          <w:sz w:val="28"/>
          <w:szCs w:val="28"/>
          <w:lang w:val="ru-RU"/>
        </w:rPr>
        <w:t>8</w:t>
      </w:r>
      <w:r w:rsidRPr="00355D0B">
        <w:rPr>
          <w:spacing w:val="-1"/>
          <w:w w:val="101"/>
          <w:sz w:val="28"/>
          <w:szCs w:val="28"/>
        </w:rPr>
        <w:t xml:space="preserve"> року із загального фонду бюджету проведені в сумі </w:t>
      </w:r>
      <w:r w:rsidRPr="00355D0B">
        <w:rPr>
          <w:spacing w:val="-1"/>
          <w:w w:val="101"/>
          <w:sz w:val="28"/>
          <w:szCs w:val="28"/>
          <w:lang w:val="ru-RU"/>
        </w:rPr>
        <w:t xml:space="preserve">1482,0 </w:t>
      </w:r>
      <w:r w:rsidRPr="00355D0B">
        <w:rPr>
          <w:spacing w:val="-1"/>
          <w:w w:val="101"/>
          <w:sz w:val="28"/>
          <w:szCs w:val="28"/>
        </w:rPr>
        <w:t xml:space="preserve">млн. грн., що становить </w:t>
      </w:r>
      <w:r w:rsidRPr="00355D0B">
        <w:rPr>
          <w:spacing w:val="-1"/>
          <w:w w:val="101"/>
          <w:sz w:val="28"/>
          <w:szCs w:val="28"/>
          <w:lang w:val="ru-RU"/>
        </w:rPr>
        <w:t>55,0</w:t>
      </w:r>
      <w:r w:rsidRPr="00355D0B">
        <w:rPr>
          <w:spacing w:val="-1"/>
          <w:w w:val="101"/>
          <w:sz w:val="28"/>
          <w:szCs w:val="28"/>
        </w:rPr>
        <w:t xml:space="preserve"> відсотка до уточнених річних призначень (</w:t>
      </w:r>
      <w:r w:rsidRPr="00355D0B">
        <w:rPr>
          <w:spacing w:val="-1"/>
          <w:w w:val="101"/>
          <w:sz w:val="28"/>
          <w:szCs w:val="28"/>
          <w:lang w:val="ru-RU"/>
        </w:rPr>
        <w:t xml:space="preserve">2693,0 </w:t>
      </w:r>
      <w:r w:rsidRPr="00355D0B">
        <w:rPr>
          <w:spacing w:val="-1"/>
          <w:w w:val="101"/>
          <w:sz w:val="28"/>
          <w:szCs w:val="28"/>
        </w:rPr>
        <w:t>млн. грн.).</w:t>
      </w:r>
    </w:p>
    <w:p w:rsidR="000D6EC0" w:rsidRPr="00355D0B" w:rsidRDefault="000D6EC0" w:rsidP="000D6EC0">
      <w:pPr>
        <w:shd w:val="clear" w:color="auto" w:fill="FFFFFF"/>
        <w:spacing w:line="295" w:lineRule="exact"/>
        <w:ind w:right="-3" w:firstLine="709"/>
        <w:jc w:val="both"/>
        <w:rPr>
          <w:spacing w:val="-9"/>
          <w:w w:val="101"/>
          <w:sz w:val="28"/>
          <w:szCs w:val="28"/>
        </w:rPr>
      </w:pPr>
      <w:r w:rsidRPr="00355D0B">
        <w:rPr>
          <w:spacing w:val="-1"/>
          <w:w w:val="101"/>
          <w:sz w:val="28"/>
          <w:szCs w:val="28"/>
        </w:rPr>
        <w:t>З вказаної суми з</w:t>
      </w:r>
      <w:r w:rsidRPr="00355D0B">
        <w:rPr>
          <w:spacing w:val="-4"/>
          <w:w w:val="101"/>
          <w:sz w:val="28"/>
          <w:szCs w:val="28"/>
        </w:rPr>
        <w:t xml:space="preserve">а рахунок коштів міського бюджету </w:t>
      </w:r>
      <w:r w:rsidRPr="00355D0B">
        <w:rPr>
          <w:spacing w:val="-9"/>
          <w:w w:val="101"/>
          <w:sz w:val="28"/>
          <w:szCs w:val="28"/>
        </w:rPr>
        <w:t>проведено</w:t>
      </w:r>
      <w:r w:rsidRPr="00355D0B">
        <w:rPr>
          <w:spacing w:val="-4"/>
          <w:w w:val="101"/>
          <w:sz w:val="28"/>
          <w:szCs w:val="28"/>
        </w:rPr>
        <w:t xml:space="preserve"> </w:t>
      </w:r>
      <w:r w:rsidRPr="00355D0B">
        <w:rPr>
          <w:spacing w:val="-4"/>
          <w:w w:val="101"/>
          <w:sz w:val="28"/>
          <w:szCs w:val="28"/>
          <w:lang w:val="ru-RU"/>
        </w:rPr>
        <w:t>134,8</w:t>
      </w:r>
      <w:r w:rsidRPr="00355D0B">
        <w:rPr>
          <w:spacing w:val="-4"/>
          <w:w w:val="101"/>
          <w:sz w:val="28"/>
          <w:szCs w:val="28"/>
        </w:rPr>
        <w:t xml:space="preserve"> млн. грн., </w:t>
      </w:r>
      <w:r w:rsidRPr="00355D0B">
        <w:rPr>
          <w:spacing w:val="-9"/>
          <w:w w:val="101"/>
          <w:sz w:val="28"/>
          <w:szCs w:val="28"/>
        </w:rPr>
        <w:t>або 43,8 відсотка до уточненого плану (</w:t>
      </w:r>
      <w:r w:rsidRPr="00355D0B">
        <w:rPr>
          <w:spacing w:val="-9"/>
          <w:w w:val="101"/>
          <w:sz w:val="28"/>
          <w:szCs w:val="28"/>
          <w:lang w:val="ru-RU"/>
        </w:rPr>
        <w:t>308,1</w:t>
      </w:r>
      <w:r w:rsidRPr="00355D0B">
        <w:rPr>
          <w:spacing w:val="-9"/>
          <w:w w:val="101"/>
          <w:sz w:val="28"/>
          <w:szCs w:val="28"/>
        </w:rPr>
        <w:t xml:space="preserve"> млн. грн.).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w w:val="101"/>
          <w:sz w:val="28"/>
          <w:szCs w:val="28"/>
        </w:rPr>
        <w:t>Зокрема, на утримання установ соціального захисту та соціального забезпечення спрямовано 100,3 млн. грн., н</w:t>
      </w:r>
      <w:r w:rsidRPr="00355D0B">
        <w:rPr>
          <w:sz w:val="28"/>
          <w:szCs w:val="28"/>
        </w:rPr>
        <w:t xml:space="preserve">а покращення матеріального стану окремих верств населення – 6,8 млн. грн. 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Крім цього, була надана одноразова матеріальна допомога малозабезпеченим громадянам міста в сумі </w:t>
      </w:r>
      <w:r w:rsidRPr="00355D0B">
        <w:rPr>
          <w:sz w:val="28"/>
          <w:szCs w:val="28"/>
          <w:lang w:val="ru-RU"/>
        </w:rPr>
        <w:t>18,4</w:t>
      </w:r>
      <w:r w:rsidRPr="00355D0B">
        <w:rPr>
          <w:sz w:val="28"/>
          <w:szCs w:val="28"/>
        </w:rPr>
        <w:t xml:space="preserve"> млн. грн., у тому числі </w:t>
      </w:r>
      <w:r w:rsidRPr="00355D0B">
        <w:rPr>
          <w:sz w:val="28"/>
          <w:szCs w:val="28"/>
          <w:lang w:val="ru-RU"/>
        </w:rPr>
        <w:t>2391</w:t>
      </w:r>
      <w:r w:rsidRPr="00355D0B">
        <w:rPr>
          <w:sz w:val="28"/>
          <w:szCs w:val="28"/>
        </w:rPr>
        <w:t xml:space="preserve"> особі надано допомогу за рахунок коштів, запланованих у бюджеті на виконання депутатських повноважень. 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виплату одноразової матеріальної допомоги на вирішення соціально-побутових питань учасникам АТО використано 39,4 млн. грн.</w:t>
      </w:r>
    </w:p>
    <w:p w:rsidR="000D6EC0" w:rsidRPr="00355D0B" w:rsidRDefault="000D6EC0" w:rsidP="000D6EC0">
      <w:pPr>
        <w:ind w:right="-3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виплату одноразової матеріальної допомоги учасникам АТО, які потребують дороговартісного лікування використано 1,5 млн. грн.</w:t>
      </w:r>
    </w:p>
    <w:p w:rsidR="000D6EC0" w:rsidRPr="00355D0B" w:rsidRDefault="000D6EC0" w:rsidP="000D6EC0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355D0B">
        <w:rPr>
          <w:spacing w:val="-13"/>
          <w:w w:val="101"/>
          <w:sz w:val="28"/>
          <w:szCs w:val="28"/>
        </w:rPr>
        <w:t xml:space="preserve">На надання пільг з послуг зв`язку та інших передбачених законодавством пільг з міського бюджету використано </w:t>
      </w:r>
      <w:r w:rsidRPr="00355D0B">
        <w:rPr>
          <w:spacing w:val="-13"/>
          <w:w w:val="101"/>
          <w:sz w:val="28"/>
          <w:szCs w:val="28"/>
          <w:lang w:val="ru-RU"/>
        </w:rPr>
        <w:t>2,1</w:t>
      </w:r>
      <w:r w:rsidRPr="00355D0B">
        <w:rPr>
          <w:spacing w:val="-13"/>
          <w:w w:val="101"/>
          <w:sz w:val="28"/>
          <w:szCs w:val="28"/>
        </w:rPr>
        <w:t xml:space="preserve"> млн. грн.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>Видатки на компенсацію за пільговий проїзд окремих категорій громадян електротранспортом склали 19,1 млн. грн., пільговий проїзд окремих категорій громадян автотранспортом – 9,1 млн.</w:t>
      </w:r>
      <w:r w:rsidR="008418BD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 За пільговий проїзд учнів і студентів з міського бюджету спрямовано  3,7 млн. грн.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погашення заборгованості по субвенції з державного бюджету за компенсаційні виплати на пільговий проїзд окремих категорій громадян автотранспортом, яка утворилася станом на 01.01.2016 року перед АТП 14630 проведено видатки з міського бюджету м.</w:t>
      </w:r>
      <w:r w:rsidR="008418BD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Львова в сумі 0,5 млн.</w:t>
      </w:r>
      <w:r w:rsidR="008418BD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 xml:space="preserve">грн.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Станом на 01.07.2018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1,1 млн. грн. та  автотранспортом в сумі 1,2 млн. грн.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355D0B">
        <w:rPr>
          <w:spacing w:val="-1"/>
          <w:w w:val="101"/>
          <w:sz w:val="28"/>
          <w:szCs w:val="28"/>
        </w:rPr>
        <w:t xml:space="preserve">Протягом </w:t>
      </w:r>
      <w:r w:rsidR="003178A3" w:rsidRPr="00355D0B">
        <w:rPr>
          <w:spacing w:val="-1"/>
          <w:w w:val="101"/>
          <w:sz w:val="28"/>
          <w:szCs w:val="28"/>
        </w:rPr>
        <w:t>1-го півріччя</w:t>
      </w:r>
      <w:r w:rsidRPr="00355D0B">
        <w:rPr>
          <w:spacing w:val="-1"/>
          <w:w w:val="101"/>
          <w:sz w:val="28"/>
          <w:szCs w:val="28"/>
        </w:rPr>
        <w:t xml:space="preserve"> до бюджету м. Львова надійшла субве</w:t>
      </w:r>
      <w:r w:rsidRPr="00355D0B">
        <w:rPr>
          <w:w w:val="101"/>
          <w:sz w:val="28"/>
          <w:szCs w:val="28"/>
        </w:rPr>
        <w:t xml:space="preserve">нція з державного </w:t>
      </w:r>
      <w:r w:rsidRPr="00355D0B">
        <w:rPr>
          <w:spacing w:val="-9"/>
          <w:w w:val="101"/>
          <w:sz w:val="28"/>
          <w:szCs w:val="28"/>
        </w:rPr>
        <w:t xml:space="preserve">бюджету на здійснення заходів з виконання державних програм соціального захисту населення </w:t>
      </w:r>
      <w:r w:rsidRPr="00355D0B">
        <w:rPr>
          <w:spacing w:val="-1"/>
          <w:w w:val="101"/>
          <w:sz w:val="28"/>
          <w:szCs w:val="28"/>
        </w:rPr>
        <w:t xml:space="preserve">в сумі 1347,2 млн. грн., </w:t>
      </w:r>
      <w:r w:rsidRPr="00355D0B">
        <w:rPr>
          <w:w w:val="101"/>
          <w:sz w:val="28"/>
          <w:szCs w:val="28"/>
        </w:rPr>
        <w:t xml:space="preserve">що становить 56,5 відсотка </w:t>
      </w:r>
      <w:r w:rsidRPr="00355D0B">
        <w:rPr>
          <w:spacing w:val="-9"/>
          <w:w w:val="101"/>
          <w:sz w:val="28"/>
          <w:szCs w:val="28"/>
        </w:rPr>
        <w:t xml:space="preserve">до уточнених призначень на рік  (2384,9 млн. грн.), </w:t>
      </w:r>
      <w:r w:rsidRPr="00355D0B">
        <w:rPr>
          <w:w w:val="101"/>
          <w:sz w:val="28"/>
          <w:szCs w:val="28"/>
        </w:rPr>
        <w:t>а саме на:</w:t>
      </w:r>
    </w:p>
    <w:p w:rsidR="000D6EC0" w:rsidRPr="00355D0B" w:rsidRDefault="000D6EC0" w:rsidP="000D6EC0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355D0B">
        <w:rPr>
          <w:spacing w:val="-13"/>
          <w:w w:val="101"/>
          <w:sz w:val="28"/>
          <w:szCs w:val="28"/>
        </w:rPr>
        <w:t xml:space="preserve">- на виплату допомоги сім`ям з дітьми, малозабезпеченим сім`ям,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компенсаційної виплати непрацюючій працездатній особі, яка доглядає за особою з інвалідністю I групи, а також за особою, яка досягла 80-річного віку –372,6 млн. грн.  Заборгованості станом на 01.07.2018 немає;      </w:t>
      </w:r>
    </w:p>
    <w:p w:rsidR="000D6EC0" w:rsidRPr="00355D0B" w:rsidRDefault="000D6EC0" w:rsidP="000D6EC0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355D0B">
        <w:rPr>
          <w:spacing w:val="-13"/>
          <w:w w:val="101"/>
          <w:sz w:val="28"/>
          <w:szCs w:val="28"/>
        </w:rPr>
        <w:t xml:space="preserve">- надання пільг та житлових субсидій населенню на оплату житлово-комунальних послуг та енергоносіїв –  </w:t>
      </w:r>
      <w:r w:rsidRPr="00355D0B">
        <w:rPr>
          <w:spacing w:val="-13"/>
          <w:w w:val="101"/>
          <w:sz w:val="28"/>
          <w:szCs w:val="28"/>
          <w:lang w:val="ru-RU"/>
        </w:rPr>
        <w:t>973,3</w:t>
      </w:r>
      <w:r w:rsidRPr="00355D0B">
        <w:rPr>
          <w:spacing w:val="-13"/>
          <w:w w:val="101"/>
          <w:sz w:val="28"/>
          <w:szCs w:val="28"/>
        </w:rPr>
        <w:t xml:space="preserve"> млн. грн;</w:t>
      </w:r>
    </w:p>
    <w:p w:rsidR="000D6EC0" w:rsidRPr="00355D0B" w:rsidRDefault="000D6EC0" w:rsidP="000D6EC0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355D0B">
        <w:rPr>
          <w:spacing w:val="-13"/>
          <w:w w:val="101"/>
          <w:sz w:val="28"/>
          <w:szCs w:val="28"/>
        </w:rPr>
        <w:t>-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- 1,3 млн.</w:t>
      </w:r>
      <w:r w:rsidR="003178A3" w:rsidRPr="00355D0B">
        <w:rPr>
          <w:spacing w:val="-13"/>
          <w:w w:val="101"/>
          <w:sz w:val="28"/>
          <w:szCs w:val="28"/>
        </w:rPr>
        <w:t xml:space="preserve"> </w:t>
      </w:r>
      <w:r w:rsidRPr="00355D0B">
        <w:rPr>
          <w:spacing w:val="-13"/>
          <w:w w:val="101"/>
          <w:sz w:val="28"/>
          <w:szCs w:val="28"/>
        </w:rPr>
        <w:t>грн.</w:t>
      </w:r>
    </w:p>
    <w:p w:rsidR="000D6EC0" w:rsidRPr="00355D0B" w:rsidRDefault="000D6EC0" w:rsidP="000D6EC0">
      <w:pPr>
        <w:tabs>
          <w:tab w:val="left" w:pos="1080"/>
        </w:tabs>
        <w:ind w:right="-3" w:firstLine="709"/>
        <w:jc w:val="both"/>
        <w:rPr>
          <w:color w:val="FF0000"/>
          <w:spacing w:val="-13"/>
          <w:w w:val="101"/>
          <w:sz w:val="28"/>
          <w:szCs w:val="28"/>
        </w:rPr>
      </w:pPr>
    </w:p>
    <w:p w:rsidR="000D6EC0" w:rsidRPr="00355D0B" w:rsidRDefault="000D6EC0" w:rsidP="000D6EC0">
      <w:pPr>
        <w:shd w:val="clear" w:color="auto" w:fill="FFFFFF"/>
        <w:ind w:right="-3" w:firstLine="709"/>
        <w:jc w:val="both"/>
        <w:rPr>
          <w:sz w:val="28"/>
          <w:szCs w:val="28"/>
          <w:lang w:val="ru-RU"/>
        </w:rPr>
      </w:pPr>
      <w:r w:rsidRPr="00355D0B">
        <w:rPr>
          <w:sz w:val="28"/>
          <w:szCs w:val="28"/>
        </w:rPr>
        <w:t xml:space="preserve">Заборгованість на 01.07.2018 перед підприємствами надавачами житлово-комунальних послуг за надані пільги та нараховані субсидії згідно актів звірянь складає  </w:t>
      </w:r>
      <w:r w:rsidRPr="00355D0B">
        <w:rPr>
          <w:sz w:val="28"/>
          <w:szCs w:val="28"/>
          <w:lang w:val="ru-RU"/>
        </w:rPr>
        <w:t>65,1</w:t>
      </w:r>
      <w:r w:rsidRPr="00355D0B">
        <w:rPr>
          <w:sz w:val="28"/>
          <w:szCs w:val="28"/>
        </w:rPr>
        <w:t xml:space="preserve"> млн. грн.</w:t>
      </w:r>
      <w:r w:rsidRPr="00355D0B">
        <w:rPr>
          <w:sz w:val="28"/>
          <w:szCs w:val="28"/>
          <w:lang w:val="ru-RU"/>
        </w:rPr>
        <w:t xml:space="preserve">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 протягом року з обласного бюджету отримано 9,2 тис. грн. або 44,7 відсотка річних призначень.</w:t>
      </w:r>
    </w:p>
    <w:p w:rsidR="000D6EC0" w:rsidRPr="00355D0B" w:rsidRDefault="000D6EC0" w:rsidP="000D6EC0">
      <w:pPr>
        <w:shd w:val="clear" w:color="auto" w:fill="FFFFFF"/>
        <w:ind w:right="-3" w:firstLine="709"/>
        <w:jc w:val="both"/>
        <w:rPr>
          <w:color w:val="FF0000"/>
          <w:sz w:val="28"/>
          <w:szCs w:val="28"/>
        </w:rPr>
      </w:pPr>
    </w:p>
    <w:p w:rsidR="000D6EC0" w:rsidRPr="00355D0B" w:rsidRDefault="000D6EC0" w:rsidP="000D6EC0">
      <w:pPr>
        <w:tabs>
          <w:tab w:val="left" w:pos="993"/>
        </w:tabs>
        <w:ind w:firstLine="709"/>
        <w:jc w:val="both"/>
        <w:rPr>
          <w:rFonts w:eastAsia="Прямий Проп"/>
          <w:color w:val="000000"/>
          <w:sz w:val="28"/>
          <w:szCs w:val="28"/>
        </w:rPr>
      </w:pPr>
      <w:r w:rsidRPr="00355D0B">
        <w:rPr>
          <w:sz w:val="28"/>
          <w:szCs w:val="28"/>
        </w:rPr>
        <w:t xml:space="preserve">Видатки на </w:t>
      </w:r>
      <w:r w:rsidRPr="00355D0B">
        <w:rPr>
          <w:b/>
          <w:bCs/>
          <w:sz w:val="28"/>
          <w:szCs w:val="28"/>
        </w:rPr>
        <w:t>державне управління</w:t>
      </w:r>
      <w:r w:rsidRPr="00355D0B">
        <w:rPr>
          <w:sz w:val="28"/>
          <w:szCs w:val="28"/>
        </w:rPr>
        <w:t xml:space="preserve"> за 1-е півріччя 2018 року становлять 168,3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грн, або 41,3 відсотка до затвердженого плану на рік  (407,9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 xml:space="preserve">грн).  </w:t>
      </w:r>
      <w:r w:rsidRPr="00355D0B">
        <w:rPr>
          <w:rFonts w:eastAsia="Прямий Проп"/>
          <w:color w:val="000000"/>
          <w:sz w:val="28"/>
          <w:szCs w:val="28"/>
        </w:rPr>
        <w:t xml:space="preserve"> </w:t>
      </w:r>
    </w:p>
    <w:p w:rsidR="00675DEF" w:rsidRPr="00355D0B" w:rsidRDefault="00675DEF" w:rsidP="00E86EB5">
      <w:pPr>
        <w:ind w:firstLine="709"/>
        <w:jc w:val="both"/>
        <w:rPr>
          <w:color w:val="FF0000"/>
          <w:sz w:val="28"/>
          <w:szCs w:val="28"/>
        </w:rPr>
      </w:pP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Видатки на </w:t>
      </w:r>
      <w:r w:rsidRPr="00355D0B">
        <w:rPr>
          <w:b/>
          <w:sz w:val="28"/>
          <w:szCs w:val="28"/>
        </w:rPr>
        <w:t>житлово-комунальне господарство</w:t>
      </w:r>
      <w:r w:rsidRPr="00355D0B">
        <w:rPr>
          <w:sz w:val="28"/>
          <w:szCs w:val="28"/>
        </w:rPr>
        <w:t xml:space="preserve"> у 1-му півріччі  2018 року проведені у сумі 178,9 млн. грн., що складає 43,4 відсотка до уточненого плану на рік (413,0 млн. грн.) та 96,4 відсотка до плану на звітний період (185,7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грн.)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З вказаних видатків на експлуатацію та технічне обслуговування житлового фонду спрямовано 24,3 млн. грн., у тому числі на поточний ремонт покрівель – 13,9 млн. грн., поточний ремонт інженерних мереж –5,7 млн. грн., поточний ремонт балконів – 2,6 млн. грн., поточний ремонт вітражних вікон сходових кліток – 1,2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 та поточний ремонт інших об’єктів житлового фонду – 0,8 млн. грн.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Видатки на </w:t>
      </w:r>
      <w:r w:rsidRPr="00355D0B">
        <w:rPr>
          <w:b/>
          <w:sz w:val="28"/>
          <w:szCs w:val="28"/>
        </w:rPr>
        <w:t>благоустрій</w:t>
      </w:r>
      <w:r w:rsidRPr="00355D0B">
        <w:rPr>
          <w:sz w:val="28"/>
          <w:szCs w:val="28"/>
        </w:rPr>
        <w:t xml:space="preserve"> міста склали 150,0 млн. грн., або 97,8 відсотка до уточненого плану на 1-ше півріччя (153,5 млн. грн.) та 45,7 відсотка до плану на рік (328,8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грн.).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Видатки на благоустрій у структурі видатків на житлово-комунальне господарство складають 83,9 відсотка.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Згідно даних департаменту житлового господарства та інфраструктури і районних адміністрацій кошти в сумі 145,3 млн. грн. використані на такі заходи з благоустрою: 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 xml:space="preserve">санітарне прибирання – 76,9 млн. грн.; 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поточний ремонт доріг та тротуарів – 21,6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електроенергія вуличного освітлення  - 18,1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утримання та поточний ремонт елементів зовнішнього освітлення – 7,9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дорожнє господарство (встановлення, ремонт та утримання дорожніх знаків, турнікетів, зупинок, дорожня розмітка, очистка дощоприймачів)  - 4,5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придбання та перемішування піско-соляної суміші, реагенту  -  4,6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озеленення міста (скошування газонів, влаштування квітників та газонів)  - 9,4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виконання робіт ЛКП “Лев” – 1,2 млн. грн.;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</w:t>
      </w:r>
      <w:r w:rsidRPr="00355D0B">
        <w:rPr>
          <w:sz w:val="28"/>
          <w:szCs w:val="28"/>
        </w:rPr>
        <w:tab/>
        <w:t>інші видатки на благоустрій  (утримання фонтанів, парків, ремонт та встановлення зупинок громадськ</w:t>
      </w:r>
      <w:r w:rsidR="00355D0B">
        <w:rPr>
          <w:sz w:val="28"/>
          <w:szCs w:val="28"/>
        </w:rPr>
        <w:t>ого транспорту) – 1,1 млн. грн.</w:t>
      </w:r>
    </w:p>
    <w:p w:rsidR="000D6EC0" w:rsidRPr="00355D0B" w:rsidRDefault="000D6EC0" w:rsidP="00355D0B">
      <w:pPr>
        <w:ind w:firstLine="426"/>
        <w:jc w:val="both"/>
        <w:rPr>
          <w:sz w:val="28"/>
          <w:szCs w:val="28"/>
        </w:rPr>
      </w:pP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На утримання та впорядкування парків м.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Львова використано 4,75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 в тому числі на благоустрій парку “Знесіння” - 0,15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 xml:space="preserve">грн.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 рахунок коштів міського бюджету проведені видатки на відшкодування втрат ЛМКП “Львівводоканал” за надані послуги з водопостачання населенню, яке проживає в зоні депресійної лійки в сумі 3,85 млн. грн.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Видатки на іншу діяльність у сфері житлово-комунального господарства склали 0,5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 xml:space="preserve">грн.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 xml:space="preserve">Видатки  на </w:t>
      </w:r>
      <w:r w:rsidRPr="00355D0B">
        <w:rPr>
          <w:b/>
          <w:sz w:val="28"/>
          <w:szCs w:val="28"/>
        </w:rPr>
        <w:t>транспорт  та  дорожнє  господарство</w:t>
      </w:r>
      <w:r w:rsidRPr="00355D0B">
        <w:rPr>
          <w:sz w:val="28"/>
          <w:szCs w:val="28"/>
        </w:rPr>
        <w:t xml:space="preserve"> склали 1,8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грн.,  які спрямовані на обслуговування світлофорних об’єктів  м.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Львова - 1,1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грн., оплату електроенергії світлофорів в сумі 0,7 млн.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грн., компенсацію вартості проїзду за перевезення учасників зустрічі молоді Тезе – 41,4 тис.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  <w:r w:rsidRPr="00355D0B">
        <w:rPr>
          <w:b/>
          <w:sz w:val="28"/>
          <w:szCs w:val="28"/>
        </w:rPr>
        <w:t>На надання пільгових молодіжних кредитів</w:t>
      </w:r>
      <w:r w:rsidRPr="00355D0B">
        <w:rPr>
          <w:sz w:val="28"/>
          <w:szCs w:val="28"/>
        </w:rPr>
        <w:t xml:space="preserve"> спрямовано 3,8 млн. грн., в </w:t>
      </w:r>
      <w:r w:rsidR="003178A3" w:rsidRPr="00355D0B">
        <w:rPr>
          <w:sz w:val="28"/>
          <w:szCs w:val="28"/>
        </w:rPr>
        <w:t xml:space="preserve">      </w:t>
      </w:r>
      <w:r w:rsidRPr="00355D0B">
        <w:rPr>
          <w:sz w:val="28"/>
          <w:szCs w:val="28"/>
        </w:rPr>
        <w:t>т</w:t>
      </w:r>
      <w:r w:rsidR="00355D0B">
        <w:rPr>
          <w:sz w:val="28"/>
          <w:szCs w:val="28"/>
        </w:rPr>
        <w:t>ому</w:t>
      </w:r>
      <w:r w:rsidR="003178A3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ч</w:t>
      </w:r>
      <w:r w:rsidR="00355D0B">
        <w:rPr>
          <w:sz w:val="28"/>
          <w:szCs w:val="28"/>
        </w:rPr>
        <w:t>ислі</w:t>
      </w:r>
      <w:r w:rsidRPr="00355D0B">
        <w:rPr>
          <w:sz w:val="28"/>
          <w:szCs w:val="28"/>
        </w:rPr>
        <w:t xml:space="preserve"> за рахунок загального фонду 3,6 млн. грн. та за рахунок повернення позичальниками кредитів наданих у попередні роки – 0,2 млн. грн. Видатки на обслуговування пільгових молодіжних кредитів склали 0,2 млн. грн.   </w:t>
      </w:r>
    </w:p>
    <w:p w:rsidR="000D6EC0" w:rsidRPr="00355D0B" w:rsidRDefault="000D6EC0" w:rsidP="000D6EC0">
      <w:pPr>
        <w:ind w:firstLine="709"/>
        <w:jc w:val="both"/>
        <w:rPr>
          <w:sz w:val="28"/>
          <w:szCs w:val="28"/>
        </w:rPr>
      </w:pPr>
    </w:p>
    <w:p w:rsidR="00825970" w:rsidRPr="00355D0B" w:rsidRDefault="00825970" w:rsidP="00825970">
      <w:pPr>
        <w:shd w:val="clear" w:color="auto" w:fill="FFFFFF"/>
        <w:autoSpaceDE w:val="0"/>
        <w:ind w:right="29"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  </w:t>
      </w:r>
      <w:r w:rsidRPr="00355D0B">
        <w:rPr>
          <w:b/>
          <w:sz w:val="28"/>
          <w:szCs w:val="28"/>
        </w:rPr>
        <w:t>резервного фонду</w:t>
      </w:r>
      <w:r w:rsidRPr="00355D0B">
        <w:rPr>
          <w:sz w:val="28"/>
          <w:szCs w:val="28"/>
        </w:rPr>
        <w:t xml:space="preserve"> міського бюджету у 1-му </w:t>
      </w:r>
      <w:r w:rsidR="003178A3" w:rsidRPr="00355D0B">
        <w:rPr>
          <w:sz w:val="28"/>
          <w:szCs w:val="28"/>
        </w:rPr>
        <w:t>півріччі</w:t>
      </w:r>
      <w:r w:rsidRPr="00355D0B">
        <w:rPr>
          <w:sz w:val="28"/>
          <w:szCs w:val="28"/>
        </w:rPr>
        <w:t xml:space="preserve"> 2018 року спрямовано 2985,5 тис. грн., з яких використано </w:t>
      </w:r>
      <w:r w:rsidR="00924731" w:rsidRPr="00355D0B">
        <w:rPr>
          <w:sz w:val="28"/>
          <w:szCs w:val="28"/>
        </w:rPr>
        <w:t>1417,0</w:t>
      </w:r>
      <w:r w:rsidRPr="00355D0B">
        <w:rPr>
          <w:sz w:val="28"/>
          <w:szCs w:val="28"/>
        </w:rPr>
        <w:t xml:space="preserve"> тис. грн. на проведення невідкладних аварійно-відновлювальних робіт. Інформація про спрямування резервного фонду додається.</w:t>
      </w:r>
    </w:p>
    <w:p w:rsidR="00470B3F" w:rsidRPr="00355D0B" w:rsidRDefault="00470B3F" w:rsidP="00470B3F">
      <w:pPr>
        <w:ind w:firstLine="709"/>
        <w:jc w:val="both"/>
        <w:rPr>
          <w:sz w:val="28"/>
          <w:szCs w:val="28"/>
        </w:rPr>
      </w:pPr>
    </w:p>
    <w:p w:rsidR="00825970" w:rsidRPr="00355D0B" w:rsidRDefault="00825970" w:rsidP="00825970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 w:rsidRPr="00355D0B">
        <w:rPr>
          <w:sz w:val="28"/>
          <w:szCs w:val="28"/>
        </w:rPr>
        <w:t xml:space="preserve">За  1-ше півріччя  2018   року  до   </w:t>
      </w:r>
      <w:r w:rsidRPr="00355D0B">
        <w:rPr>
          <w:b/>
          <w:bCs/>
          <w:sz w:val="28"/>
          <w:szCs w:val="28"/>
        </w:rPr>
        <w:t>спеціального   фонду</w:t>
      </w:r>
      <w:r w:rsidRPr="00355D0B">
        <w:rPr>
          <w:bCs/>
          <w:sz w:val="28"/>
          <w:szCs w:val="28"/>
        </w:rPr>
        <w:t xml:space="preserve">   міського  </w:t>
      </w:r>
      <w:r w:rsidRPr="00355D0B">
        <w:rPr>
          <w:b/>
          <w:bCs/>
          <w:sz w:val="28"/>
          <w:szCs w:val="28"/>
        </w:rPr>
        <w:t xml:space="preserve"> </w:t>
      </w:r>
      <w:r w:rsidRPr="00355D0B">
        <w:rPr>
          <w:bCs/>
          <w:sz w:val="28"/>
          <w:szCs w:val="28"/>
        </w:rPr>
        <w:t>бюджету м. Львова надійшло 206,9 млн. грн., що становить 96,5 відсотка до плану  (214,3 млн. грн. без офіційних трансфертів) або на 7,7 млн. грн. менше.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b/>
          <w:sz w:val="28"/>
          <w:szCs w:val="28"/>
        </w:rPr>
        <w:t>До бюджету розвитку</w:t>
      </w:r>
      <w:r w:rsidRPr="00355D0B">
        <w:rPr>
          <w:sz w:val="28"/>
          <w:szCs w:val="28"/>
        </w:rPr>
        <w:t xml:space="preserve"> бюджету м. Львова надійшло </w:t>
      </w:r>
      <w:r w:rsidRPr="00355D0B">
        <w:rPr>
          <w:sz w:val="28"/>
          <w:szCs w:val="28"/>
          <w:lang w:val="ru-RU"/>
        </w:rPr>
        <w:t>130,3</w:t>
      </w:r>
      <w:r w:rsidRPr="00355D0B">
        <w:rPr>
          <w:sz w:val="28"/>
          <w:szCs w:val="28"/>
        </w:rPr>
        <w:t xml:space="preserve"> млн. грн., що становить </w:t>
      </w:r>
      <w:r w:rsidRPr="00355D0B">
        <w:rPr>
          <w:sz w:val="28"/>
          <w:szCs w:val="28"/>
          <w:lang w:val="ru-RU"/>
        </w:rPr>
        <w:t>95,0</w:t>
      </w:r>
      <w:r w:rsidRPr="00355D0B">
        <w:rPr>
          <w:sz w:val="28"/>
          <w:szCs w:val="28"/>
        </w:rPr>
        <w:t xml:space="preserve"> відсотків до запланованих (137,2 млн. грн</w:t>
      </w:r>
      <w:r w:rsidRPr="00355D0B">
        <w:rPr>
          <w:i/>
          <w:sz w:val="28"/>
          <w:szCs w:val="28"/>
        </w:rPr>
        <w:t>.),</w:t>
      </w:r>
      <w:r w:rsidRPr="00355D0B">
        <w:rPr>
          <w:sz w:val="28"/>
          <w:szCs w:val="28"/>
        </w:rPr>
        <w:t xml:space="preserve"> в </w:t>
      </w:r>
      <w:r w:rsidR="00355D0B" w:rsidRPr="00355D0B">
        <w:rPr>
          <w:sz w:val="28"/>
          <w:szCs w:val="28"/>
        </w:rPr>
        <w:t>тому числі</w:t>
      </w:r>
      <w:r w:rsidRPr="00355D0B">
        <w:rPr>
          <w:sz w:val="28"/>
          <w:szCs w:val="28"/>
        </w:rPr>
        <w:t>: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 від продажу землі – 51,0 млн. грн. при плані 44,0 млн. грн. (116,0%);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 від відчуження майна, що знаходиться у комунальній власності – 28,2 млн. грн. із запланованих 43,2 млн. грн. або менше на 15,0 млн. грн.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коштів пайової участі розвитку інфраструктури населеного пункту – 51,1 млн. грн., при плані 50,0 млн. грн., або на 1,1 млн. грн. </w:t>
      </w:r>
      <w:r w:rsidRPr="00355D0B">
        <w:rPr>
          <w:sz w:val="28"/>
          <w:szCs w:val="28"/>
          <w:lang w:val="ru-RU"/>
        </w:rPr>
        <w:t>б</w:t>
      </w:r>
      <w:r w:rsidRPr="00355D0B">
        <w:rPr>
          <w:sz w:val="28"/>
          <w:szCs w:val="28"/>
        </w:rPr>
        <w:t>і</w:t>
      </w:r>
      <w:r w:rsidRPr="00355D0B">
        <w:rPr>
          <w:sz w:val="28"/>
          <w:szCs w:val="28"/>
          <w:lang w:val="ru-RU"/>
        </w:rPr>
        <w:t>льше</w:t>
      </w:r>
      <w:r w:rsidRPr="00355D0B">
        <w:rPr>
          <w:sz w:val="28"/>
          <w:szCs w:val="28"/>
        </w:rPr>
        <w:t xml:space="preserve">. </w:t>
      </w:r>
    </w:p>
    <w:p w:rsidR="00B15CE8" w:rsidRPr="00355D0B" w:rsidRDefault="00B15CE8" w:rsidP="00B15CE8">
      <w:pPr>
        <w:ind w:firstLine="708"/>
        <w:jc w:val="both"/>
        <w:rPr>
          <w:color w:val="FF0000"/>
          <w:sz w:val="28"/>
          <w:szCs w:val="28"/>
        </w:rPr>
      </w:pP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Видатки бюджету розвитку у 1-му півріччі профінансовані в сумі 810,5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грн., або 34,5 відсотка  до річного плану (2352,7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грн.), у тому числі на:</w:t>
      </w:r>
    </w:p>
    <w:p w:rsidR="00825970" w:rsidRPr="00355D0B" w:rsidRDefault="00825970" w:rsidP="00355D0B">
      <w:pPr>
        <w:ind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    об</w:t>
      </w:r>
      <w:r w:rsidR="00355D0B" w:rsidRPr="00355D0B">
        <w:rPr>
          <w:sz w:val="28"/>
          <w:szCs w:val="28"/>
        </w:rPr>
        <w:t>’</w:t>
      </w:r>
      <w:r w:rsidRPr="00355D0B">
        <w:rPr>
          <w:sz w:val="28"/>
          <w:szCs w:val="28"/>
        </w:rPr>
        <w:t>єкти, видатки на які проводяться за рахунок залишку коштів, який утворився на 01.01.2018 у бюджеті розвитку міського бюджету м.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Львова – 0,9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>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грн.,</w:t>
      </w:r>
    </w:p>
    <w:p w:rsidR="00825970" w:rsidRPr="00355D0B" w:rsidRDefault="00825970" w:rsidP="00355D0B">
      <w:pPr>
        <w:ind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 об’єкти, що фінансуються за рахунок коштів субвенцій з державного бюджету – 19,6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 з них на грошову компенсацію за належні для отримання жилі приміщення для сімей загиблих осіб в АТО – 18,7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 та на заходи щодо соціально-економічного розвитку – 0,9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</w:t>
      </w:r>
    </w:p>
    <w:p w:rsidR="00825970" w:rsidRPr="00355D0B" w:rsidRDefault="00825970" w:rsidP="00355D0B">
      <w:pPr>
        <w:ind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внески органів місцевого самоврядування у статутні капітали комунальних підприємств – </w:t>
      </w:r>
      <w:r w:rsidRPr="00355D0B">
        <w:rPr>
          <w:sz w:val="28"/>
          <w:szCs w:val="28"/>
          <w:lang w:val="ru-RU"/>
        </w:rPr>
        <w:t>670,2</w:t>
      </w:r>
      <w:r w:rsidRPr="00355D0B">
        <w:rPr>
          <w:sz w:val="28"/>
          <w:szCs w:val="28"/>
        </w:rPr>
        <w:t xml:space="preserve">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грн.;</w:t>
      </w:r>
    </w:p>
    <w:p w:rsidR="00825970" w:rsidRPr="00355D0B" w:rsidRDefault="00825970" w:rsidP="00355D0B">
      <w:pPr>
        <w:ind w:firstLine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-  об’</w:t>
      </w:r>
      <w:r w:rsidRPr="00355D0B">
        <w:rPr>
          <w:sz w:val="28"/>
          <w:szCs w:val="28"/>
          <w:lang w:val="ru-RU"/>
        </w:rPr>
        <w:t>єкти житлового господарства та соціально-культурної сфери</w:t>
      </w:r>
      <w:r w:rsidRPr="00355D0B">
        <w:rPr>
          <w:sz w:val="28"/>
          <w:szCs w:val="28"/>
        </w:rPr>
        <w:t xml:space="preserve"> – 119,8 млн.</w:t>
      </w:r>
      <w:r w:rsidR="00355D0B"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грн.</w:t>
      </w:r>
    </w:p>
    <w:p w:rsidR="00825970" w:rsidRPr="00355D0B" w:rsidRDefault="00825970" w:rsidP="00825970">
      <w:pPr>
        <w:ind w:firstLine="709"/>
        <w:jc w:val="both"/>
        <w:rPr>
          <w:sz w:val="28"/>
          <w:szCs w:val="28"/>
        </w:rPr>
      </w:pPr>
    </w:p>
    <w:p w:rsidR="00825970" w:rsidRPr="00355D0B" w:rsidRDefault="00825970" w:rsidP="00825970">
      <w:pPr>
        <w:ind w:firstLine="708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Надходження екологічного податку до міського бюджету м. Львова за 1-ше півріччя 2018 року становить 1,2 млн. грн., при плані 2,1 млн. грн. або 57,8 </w:t>
      </w:r>
      <w:r w:rsidRPr="00355D0B">
        <w:rPr>
          <w:sz w:val="28"/>
          <w:szCs w:val="28"/>
        </w:rPr>
        <w:lastRenderedPageBreak/>
        <w:t xml:space="preserve">відсотка. У порівнянні з аналогічним періодом минулого року надходження екологічного податку зменшилися на 1,0 млн. грн. </w:t>
      </w:r>
      <w:r w:rsidR="00355D0B" w:rsidRPr="00355D0B">
        <w:rPr>
          <w:sz w:val="28"/>
          <w:szCs w:val="28"/>
        </w:rPr>
        <w:t>Видатки з фонду охорони навколишнього природного середовища у 1-у півріччі не проводились.</w:t>
      </w:r>
    </w:p>
    <w:p w:rsidR="00F6017C" w:rsidRPr="00355D0B" w:rsidRDefault="00F6017C" w:rsidP="00B15CE8">
      <w:pPr>
        <w:ind w:firstLine="709"/>
        <w:jc w:val="both"/>
        <w:rPr>
          <w:color w:val="FF0000"/>
          <w:sz w:val="28"/>
          <w:szCs w:val="28"/>
        </w:rPr>
      </w:pPr>
    </w:p>
    <w:p w:rsidR="00B15CE8" w:rsidRPr="00355D0B" w:rsidRDefault="00B15CE8" w:rsidP="00B15CE8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Дані про виконання міського бюджету м. Львова  за 1-ше півріччя 201</w:t>
      </w:r>
      <w:r w:rsidR="00825970" w:rsidRPr="00355D0B">
        <w:rPr>
          <w:sz w:val="28"/>
          <w:szCs w:val="28"/>
        </w:rPr>
        <w:t>8</w:t>
      </w:r>
      <w:r w:rsidRPr="00355D0B">
        <w:rPr>
          <w:sz w:val="28"/>
          <w:szCs w:val="28"/>
        </w:rPr>
        <w:t xml:space="preserve"> року додаються.</w:t>
      </w:r>
    </w:p>
    <w:p w:rsidR="000140AE" w:rsidRPr="00355D0B" w:rsidRDefault="000140AE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15CE8" w:rsidRPr="00355D0B" w:rsidRDefault="00B15CE8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15CE8" w:rsidRPr="00355D0B" w:rsidRDefault="00B15CE8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22CC5" w:rsidRPr="00355D0B" w:rsidRDefault="00222CC5" w:rsidP="00394F98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  <w:lang w:val="ru-RU"/>
        </w:rPr>
      </w:pPr>
    </w:p>
    <w:p w:rsidR="0095126D" w:rsidRPr="00355D0B" w:rsidRDefault="000140AE" w:rsidP="00C07190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Директор департаменту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>О.</w:t>
      </w:r>
      <w:r w:rsid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Іщук</w:t>
      </w:r>
      <w:r w:rsidR="00824BB8" w:rsidRPr="00355D0B">
        <w:rPr>
          <w:sz w:val="28"/>
          <w:szCs w:val="28"/>
        </w:rPr>
        <w:t xml:space="preserve"> </w:t>
      </w:r>
    </w:p>
    <w:p w:rsidR="0095126D" w:rsidRPr="00355D0B" w:rsidRDefault="0095126D" w:rsidP="00394F98">
      <w:pPr>
        <w:ind w:right="158" w:firstLine="709"/>
        <w:rPr>
          <w:sz w:val="28"/>
          <w:szCs w:val="28"/>
        </w:rPr>
      </w:pPr>
    </w:p>
    <w:sectPr w:rsidR="0095126D" w:rsidRPr="00355D0B" w:rsidSect="00355D0B">
      <w:headerReference w:type="default" r:id="rId7"/>
      <w:footnotePr>
        <w:pos w:val="beneathText"/>
      </w:footnotePr>
      <w:pgSz w:w="12240" w:h="15840"/>
      <w:pgMar w:top="1135" w:right="760" w:bottom="1135" w:left="1560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39" w:rsidRDefault="00241039">
      <w:r>
        <w:separator/>
      </w:r>
    </w:p>
  </w:endnote>
  <w:endnote w:type="continuationSeparator" w:id="0">
    <w:p w:rsidR="00241039" w:rsidRDefault="002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39" w:rsidRDefault="00241039">
      <w:r>
        <w:separator/>
      </w:r>
    </w:p>
  </w:footnote>
  <w:footnote w:type="continuationSeparator" w:id="0">
    <w:p w:rsidR="00241039" w:rsidRDefault="0024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AE" w:rsidRDefault="00241039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6.8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2049" inset="0,0,0,0">
            <w:txbxContent>
              <w:p w:rsidR="001865AE" w:rsidRDefault="001865AE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B86141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21"/>
    <w:multiLevelType w:val="hybridMultilevel"/>
    <w:tmpl w:val="56DA47A8"/>
    <w:lvl w:ilvl="0" w:tplc="CCF0CD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85D10"/>
    <w:rsid w:val="0000028B"/>
    <w:rsid w:val="000009AF"/>
    <w:rsid w:val="00002819"/>
    <w:rsid w:val="00003E4D"/>
    <w:rsid w:val="000066A5"/>
    <w:rsid w:val="000140AE"/>
    <w:rsid w:val="00014C11"/>
    <w:rsid w:val="000159D1"/>
    <w:rsid w:val="00016FDE"/>
    <w:rsid w:val="00021B77"/>
    <w:rsid w:val="000223AE"/>
    <w:rsid w:val="00032D12"/>
    <w:rsid w:val="00035530"/>
    <w:rsid w:val="00040E76"/>
    <w:rsid w:val="00042B7E"/>
    <w:rsid w:val="00046955"/>
    <w:rsid w:val="0004776E"/>
    <w:rsid w:val="00051853"/>
    <w:rsid w:val="00060EB3"/>
    <w:rsid w:val="000627B2"/>
    <w:rsid w:val="00064AAF"/>
    <w:rsid w:val="00072D67"/>
    <w:rsid w:val="000738F1"/>
    <w:rsid w:val="00073DE4"/>
    <w:rsid w:val="00076FCE"/>
    <w:rsid w:val="0008236A"/>
    <w:rsid w:val="00085612"/>
    <w:rsid w:val="000902A7"/>
    <w:rsid w:val="000909A4"/>
    <w:rsid w:val="00090C80"/>
    <w:rsid w:val="000A098D"/>
    <w:rsid w:val="000A4256"/>
    <w:rsid w:val="000A5FC3"/>
    <w:rsid w:val="000A629C"/>
    <w:rsid w:val="000A6CC0"/>
    <w:rsid w:val="000B1DA0"/>
    <w:rsid w:val="000B530D"/>
    <w:rsid w:val="000B7EA1"/>
    <w:rsid w:val="000C22E1"/>
    <w:rsid w:val="000C4780"/>
    <w:rsid w:val="000C61B5"/>
    <w:rsid w:val="000C642B"/>
    <w:rsid w:val="000D3FA6"/>
    <w:rsid w:val="000D643B"/>
    <w:rsid w:val="000D6EC0"/>
    <w:rsid w:val="000E6477"/>
    <w:rsid w:val="000E7C73"/>
    <w:rsid w:val="000F1A8D"/>
    <w:rsid w:val="000F38C2"/>
    <w:rsid w:val="000F43D7"/>
    <w:rsid w:val="001030B7"/>
    <w:rsid w:val="00106D83"/>
    <w:rsid w:val="0011301B"/>
    <w:rsid w:val="001133BE"/>
    <w:rsid w:val="00115C27"/>
    <w:rsid w:val="00116C49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190D"/>
    <w:rsid w:val="00141BEC"/>
    <w:rsid w:val="00141DF5"/>
    <w:rsid w:val="001577F4"/>
    <w:rsid w:val="001608F1"/>
    <w:rsid w:val="0016622A"/>
    <w:rsid w:val="0017165F"/>
    <w:rsid w:val="00171B10"/>
    <w:rsid w:val="00180333"/>
    <w:rsid w:val="001834C4"/>
    <w:rsid w:val="001865AE"/>
    <w:rsid w:val="0018789D"/>
    <w:rsid w:val="001922D5"/>
    <w:rsid w:val="00194C45"/>
    <w:rsid w:val="001A2815"/>
    <w:rsid w:val="001A3FDD"/>
    <w:rsid w:val="001A403E"/>
    <w:rsid w:val="001A69E5"/>
    <w:rsid w:val="001B7C89"/>
    <w:rsid w:val="001C2075"/>
    <w:rsid w:val="001C7BAA"/>
    <w:rsid w:val="001E16A3"/>
    <w:rsid w:val="001E203B"/>
    <w:rsid w:val="001E736E"/>
    <w:rsid w:val="001E770F"/>
    <w:rsid w:val="001F5560"/>
    <w:rsid w:val="001F6015"/>
    <w:rsid w:val="001F61B4"/>
    <w:rsid w:val="001F7A8D"/>
    <w:rsid w:val="00206277"/>
    <w:rsid w:val="002072EF"/>
    <w:rsid w:val="00210C76"/>
    <w:rsid w:val="00222CC5"/>
    <w:rsid w:val="002253CE"/>
    <w:rsid w:val="00227A06"/>
    <w:rsid w:val="00227C31"/>
    <w:rsid w:val="00227DAB"/>
    <w:rsid w:val="00230689"/>
    <w:rsid w:val="00233FA7"/>
    <w:rsid w:val="00235BBE"/>
    <w:rsid w:val="00235C5B"/>
    <w:rsid w:val="00241039"/>
    <w:rsid w:val="002547E1"/>
    <w:rsid w:val="002575FD"/>
    <w:rsid w:val="002605F1"/>
    <w:rsid w:val="00264F3F"/>
    <w:rsid w:val="0026679A"/>
    <w:rsid w:val="00270098"/>
    <w:rsid w:val="0027327C"/>
    <w:rsid w:val="00281756"/>
    <w:rsid w:val="0028425C"/>
    <w:rsid w:val="00285826"/>
    <w:rsid w:val="0028778E"/>
    <w:rsid w:val="0029092A"/>
    <w:rsid w:val="002A1371"/>
    <w:rsid w:val="002A5AAE"/>
    <w:rsid w:val="002B3480"/>
    <w:rsid w:val="002B3BA4"/>
    <w:rsid w:val="002B47C4"/>
    <w:rsid w:val="002B62E1"/>
    <w:rsid w:val="002C1921"/>
    <w:rsid w:val="002C1ED2"/>
    <w:rsid w:val="002C4A32"/>
    <w:rsid w:val="002C62C3"/>
    <w:rsid w:val="002C7E20"/>
    <w:rsid w:val="002D27B8"/>
    <w:rsid w:val="002D54BB"/>
    <w:rsid w:val="002D761C"/>
    <w:rsid w:val="002D7B6E"/>
    <w:rsid w:val="002E0496"/>
    <w:rsid w:val="002E21B4"/>
    <w:rsid w:val="002E561B"/>
    <w:rsid w:val="002F12AB"/>
    <w:rsid w:val="002F5135"/>
    <w:rsid w:val="00301EF3"/>
    <w:rsid w:val="003062FC"/>
    <w:rsid w:val="003178A3"/>
    <w:rsid w:val="00327658"/>
    <w:rsid w:val="00330758"/>
    <w:rsid w:val="00330BE6"/>
    <w:rsid w:val="00333B51"/>
    <w:rsid w:val="003367C0"/>
    <w:rsid w:val="00336D3F"/>
    <w:rsid w:val="00337080"/>
    <w:rsid w:val="00337615"/>
    <w:rsid w:val="00346DD7"/>
    <w:rsid w:val="003529F2"/>
    <w:rsid w:val="00355D0B"/>
    <w:rsid w:val="00361DF3"/>
    <w:rsid w:val="00362390"/>
    <w:rsid w:val="003636A0"/>
    <w:rsid w:val="00363EE0"/>
    <w:rsid w:val="00364690"/>
    <w:rsid w:val="0036710D"/>
    <w:rsid w:val="0037030D"/>
    <w:rsid w:val="0037100E"/>
    <w:rsid w:val="003724EA"/>
    <w:rsid w:val="00374C10"/>
    <w:rsid w:val="00377D4B"/>
    <w:rsid w:val="00380667"/>
    <w:rsid w:val="00385D39"/>
    <w:rsid w:val="00394F98"/>
    <w:rsid w:val="003B29BC"/>
    <w:rsid w:val="003B2CBB"/>
    <w:rsid w:val="003B4E96"/>
    <w:rsid w:val="003C06E1"/>
    <w:rsid w:val="003C2CC2"/>
    <w:rsid w:val="003C4E68"/>
    <w:rsid w:val="003D0593"/>
    <w:rsid w:val="003E1BEC"/>
    <w:rsid w:val="003E4044"/>
    <w:rsid w:val="003E5547"/>
    <w:rsid w:val="003E75D7"/>
    <w:rsid w:val="003F1C71"/>
    <w:rsid w:val="00401135"/>
    <w:rsid w:val="00401267"/>
    <w:rsid w:val="00401A0E"/>
    <w:rsid w:val="004036CA"/>
    <w:rsid w:val="004056E8"/>
    <w:rsid w:val="004058F4"/>
    <w:rsid w:val="00410D5F"/>
    <w:rsid w:val="00411B96"/>
    <w:rsid w:val="00413D1B"/>
    <w:rsid w:val="00415922"/>
    <w:rsid w:val="00420EC9"/>
    <w:rsid w:val="00422703"/>
    <w:rsid w:val="0042310D"/>
    <w:rsid w:val="00431545"/>
    <w:rsid w:val="00443AC9"/>
    <w:rsid w:val="00444011"/>
    <w:rsid w:val="004460E8"/>
    <w:rsid w:val="00451AAF"/>
    <w:rsid w:val="0046139F"/>
    <w:rsid w:val="004641A9"/>
    <w:rsid w:val="004666AF"/>
    <w:rsid w:val="00470B3F"/>
    <w:rsid w:val="00471997"/>
    <w:rsid w:val="00475FF7"/>
    <w:rsid w:val="00477819"/>
    <w:rsid w:val="00481624"/>
    <w:rsid w:val="00493763"/>
    <w:rsid w:val="00493FAB"/>
    <w:rsid w:val="00496489"/>
    <w:rsid w:val="004A0779"/>
    <w:rsid w:val="004A2003"/>
    <w:rsid w:val="004A32C8"/>
    <w:rsid w:val="004A3C90"/>
    <w:rsid w:val="004A5757"/>
    <w:rsid w:val="004A5EFF"/>
    <w:rsid w:val="004B2035"/>
    <w:rsid w:val="004B489A"/>
    <w:rsid w:val="004B5A93"/>
    <w:rsid w:val="004B6444"/>
    <w:rsid w:val="004C3484"/>
    <w:rsid w:val="004C79DB"/>
    <w:rsid w:val="004D0516"/>
    <w:rsid w:val="004D78B3"/>
    <w:rsid w:val="004E32E3"/>
    <w:rsid w:val="004E6043"/>
    <w:rsid w:val="004F031F"/>
    <w:rsid w:val="004F4321"/>
    <w:rsid w:val="004F7111"/>
    <w:rsid w:val="00500975"/>
    <w:rsid w:val="00501279"/>
    <w:rsid w:val="00502722"/>
    <w:rsid w:val="0050448E"/>
    <w:rsid w:val="00506659"/>
    <w:rsid w:val="005127B1"/>
    <w:rsid w:val="00515C2F"/>
    <w:rsid w:val="00515EB4"/>
    <w:rsid w:val="00516EA2"/>
    <w:rsid w:val="0052056B"/>
    <w:rsid w:val="00522C2A"/>
    <w:rsid w:val="00522F86"/>
    <w:rsid w:val="005231BC"/>
    <w:rsid w:val="00526EDA"/>
    <w:rsid w:val="005311CC"/>
    <w:rsid w:val="0053168C"/>
    <w:rsid w:val="00531A40"/>
    <w:rsid w:val="00537DE1"/>
    <w:rsid w:val="005411BF"/>
    <w:rsid w:val="005414B9"/>
    <w:rsid w:val="00544D78"/>
    <w:rsid w:val="00550609"/>
    <w:rsid w:val="00550939"/>
    <w:rsid w:val="00550D22"/>
    <w:rsid w:val="0055174E"/>
    <w:rsid w:val="0055212B"/>
    <w:rsid w:val="00563555"/>
    <w:rsid w:val="0056414E"/>
    <w:rsid w:val="005706BC"/>
    <w:rsid w:val="00572367"/>
    <w:rsid w:val="005748E8"/>
    <w:rsid w:val="0057622D"/>
    <w:rsid w:val="00576D73"/>
    <w:rsid w:val="005841B5"/>
    <w:rsid w:val="005878E2"/>
    <w:rsid w:val="00593233"/>
    <w:rsid w:val="00595F2A"/>
    <w:rsid w:val="005A0C28"/>
    <w:rsid w:val="005A62A4"/>
    <w:rsid w:val="005B39DF"/>
    <w:rsid w:val="005B3CA4"/>
    <w:rsid w:val="005B3FD1"/>
    <w:rsid w:val="005B6D0C"/>
    <w:rsid w:val="005C0905"/>
    <w:rsid w:val="005C687D"/>
    <w:rsid w:val="005D06EF"/>
    <w:rsid w:val="005E16C5"/>
    <w:rsid w:val="005F026C"/>
    <w:rsid w:val="005F1285"/>
    <w:rsid w:val="005F1544"/>
    <w:rsid w:val="005F2B61"/>
    <w:rsid w:val="005F3DEC"/>
    <w:rsid w:val="005F58F3"/>
    <w:rsid w:val="0060396F"/>
    <w:rsid w:val="00615031"/>
    <w:rsid w:val="006154E2"/>
    <w:rsid w:val="0062334F"/>
    <w:rsid w:val="00623D69"/>
    <w:rsid w:val="006260ED"/>
    <w:rsid w:val="0062641C"/>
    <w:rsid w:val="00634799"/>
    <w:rsid w:val="006457AB"/>
    <w:rsid w:val="00647DA7"/>
    <w:rsid w:val="00651A65"/>
    <w:rsid w:val="0065529B"/>
    <w:rsid w:val="0066344D"/>
    <w:rsid w:val="00673F04"/>
    <w:rsid w:val="00675DEF"/>
    <w:rsid w:val="00676F53"/>
    <w:rsid w:val="006772BB"/>
    <w:rsid w:val="00683C92"/>
    <w:rsid w:val="00686BEB"/>
    <w:rsid w:val="00687FB6"/>
    <w:rsid w:val="00691EC2"/>
    <w:rsid w:val="006922AB"/>
    <w:rsid w:val="00695B49"/>
    <w:rsid w:val="00696522"/>
    <w:rsid w:val="006A177A"/>
    <w:rsid w:val="006A5A28"/>
    <w:rsid w:val="006A62E8"/>
    <w:rsid w:val="006B298F"/>
    <w:rsid w:val="006C2314"/>
    <w:rsid w:val="006D36D2"/>
    <w:rsid w:val="006D462E"/>
    <w:rsid w:val="006D54B5"/>
    <w:rsid w:val="006E2575"/>
    <w:rsid w:val="006E5E6D"/>
    <w:rsid w:val="006E68EC"/>
    <w:rsid w:val="006F323F"/>
    <w:rsid w:val="006F6337"/>
    <w:rsid w:val="00704217"/>
    <w:rsid w:val="00704D86"/>
    <w:rsid w:val="00710D1C"/>
    <w:rsid w:val="00712F12"/>
    <w:rsid w:val="007164BE"/>
    <w:rsid w:val="0071652C"/>
    <w:rsid w:val="00721F61"/>
    <w:rsid w:val="007270B0"/>
    <w:rsid w:val="00727B2E"/>
    <w:rsid w:val="007323F0"/>
    <w:rsid w:val="00732B9F"/>
    <w:rsid w:val="007378B3"/>
    <w:rsid w:val="00737F90"/>
    <w:rsid w:val="00741D5F"/>
    <w:rsid w:val="00745B04"/>
    <w:rsid w:val="0075046C"/>
    <w:rsid w:val="0075067B"/>
    <w:rsid w:val="00750BCC"/>
    <w:rsid w:val="00766D48"/>
    <w:rsid w:val="007750B9"/>
    <w:rsid w:val="00776763"/>
    <w:rsid w:val="00784239"/>
    <w:rsid w:val="00790DFC"/>
    <w:rsid w:val="00795413"/>
    <w:rsid w:val="007A19FF"/>
    <w:rsid w:val="007B0673"/>
    <w:rsid w:val="007B4DCC"/>
    <w:rsid w:val="007C5844"/>
    <w:rsid w:val="007D14E2"/>
    <w:rsid w:val="007D2A5E"/>
    <w:rsid w:val="007E1E67"/>
    <w:rsid w:val="007E36C9"/>
    <w:rsid w:val="007E3B6B"/>
    <w:rsid w:val="007E483B"/>
    <w:rsid w:val="007E623E"/>
    <w:rsid w:val="007F3D03"/>
    <w:rsid w:val="007F4648"/>
    <w:rsid w:val="007F6738"/>
    <w:rsid w:val="008064EE"/>
    <w:rsid w:val="008119D3"/>
    <w:rsid w:val="008122B5"/>
    <w:rsid w:val="0081300F"/>
    <w:rsid w:val="00813ED1"/>
    <w:rsid w:val="00820B0B"/>
    <w:rsid w:val="00821D42"/>
    <w:rsid w:val="008228CB"/>
    <w:rsid w:val="00822D51"/>
    <w:rsid w:val="00824455"/>
    <w:rsid w:val="00824BB8"/>
    <w:rsid w:val="00825970"/>
    <w:rsid w:val="00832734"/>
    <w:rsid w:val="00833331"/>
    <w:rsid w:val="008418BD"/>
    <w:rsid w:val="00844286"/>
    <w:rsid w:val="008471FB"/>
    <w:rsid w:val="0085480F"/>
    <w:rsid w:val="00855661"/>
    <w:rsid w:val="0085701F"/>
    <w:rsid w:val="00862D01"/>
    <w:rsid w:val="00864FB6"/>
    <w:rsid w:val="008653F8"/>
    <w:rsid w:val="00872BE4"/>
    <w:rsid w:val="00875358"/>
    <w:rsid w:val="00877B9B"/>
    <w:rsid w:val="00882021"/>
    <w:rsid w:val="00884794"/>
    <w:rsid w:val="00885D10"/>
    <w:rsid w:val="0088634D"/>
    <w:rsid w:val="00886448"/>
    <w:rsid w:val="008868B7"/>
    <w:rsid w:val="00886E7C"/>
    <w:rsid w:val="00887FC1"/>
    <w:rsid w:val="00893459"/>
    <w:rsid w:val="00895D0A"/>
    <w:rsid w:val="008A0100"/>
    <w:rsid w:val="008A01CB"/>
    <w:rsid w:val="008A1E66"/>
    <w:rsid w:val="008A4670"/>
    <w:rsid w:val="008A762D"/>
    <w:rsid w:val="008B0AD5"/>
    <w:rsid w:val="008B4381"/>
    <w:rsid w:val="008B5055"/>
    <w:rsid w:val="008C7129"/>
    <w:rsid w:val="008C7B33"/>
    <w:rsid w:val="008D6B26"/>
    <w:rsid w:val="008D7E64"/>
    <w:rsid w:val="008E3C75"/>
    <w:rsid w:val="008E5B62"/>
    <w:rsid w:val="008F0C91"/>
    <w:rsid w:val="0090394C"/>
    <w:rsid w:val="00903CE8"/>
    <w:rsid w:val="009124D5"/>
    <w:rsid w:val="009246F0"/>
    <w:rsid w:val="00924731"/>
    <w:rsid w:val="00925AAA"/>
    <w:rsid w:val="009263C3"/>
    <w:rsid w:val="00930161"/>
    <w:rsid w:val="0093265D"/>
    <w:rsid w:val="00935273"/>
    <w:rsid w:val="00944296"/>
    <w:rsid w:val="00944584"/>
    <w:rsid w:val="0095126D"/>
    <w:rsid w:val="0095189D"/>
    <w:rsid w:val="00953785"/>
    <w:rsid w:val="00960CB0"/>
    <w:rsid w:val="009640B6"/>
    <w:rsid w:val="009673AF"/>
    <w:rsid w:val="009675E4"/>
    <w:rsid w:val="009732E7"/>
    <w:rsid w:val="00973436"/>
    <w:rsid w:val="009766E3"/>
    <w:rsid w:val="00980F3F"/>
    <w:rsid w:val="00982CE0"/>
    <w:rsid w:val="0098537D"/>
    <w:rsid w:val="00987B4A"/>
    <w:rsid w:val="00995A45"/>
    <w:rsid w:val="00996C39"/>
    <w:rsid w:val="009B3E9E"/>
    <w:rsid w:val="009B3FC8"/>
    <w:rsid w:val="009C14BA"/>
    <w:rsid w:val="009C422E"/>
    <w:rsid w:val="009D0AC6"/>
    <w:rsid w:val="009D4DF2"/>
    <w:rsid w:val="009D513C"/>
    <w:rsid w:val="009E250F"/>
    <w:rsid w:val="009E3E7C"/>
    <w:rsid w:val="009E45BF"/>
    <w:rsid w:val="009E6A05"/>
    <w:rsid w:val="009E6C32"/>
    <w:rsid w:val="009E6C72"/>
    <w:rsid w:val="009F17E7"/>
    <w:rsid w:val="009F1B43"/>
    <w:rsid w:val="009F25F3"/>
    <w:rsid w:val="009F467C"/>
    <w:rsid w:val="00A01B62"/>
    <w:rsid w:val="00A032BE"/>
    <w:rsid w:val="00A11F6C"/>
    <w:rsid w:val="00A202DD"/>
    <w:rsid w:val="00A23A1E"/>
    <w:rsid w:val="00A2645E"/>
    <w:rsid w:val="00A3149D"/>
    <w:rsid w:val="00A34B0B"/>
    <w:rsid w:val="00A416FC"/>
    <w:rsid w:val="00A44301"/>
    <w:rsid w:val="00A44765"/>
    <w:rsid w:val="00A478D2"/>
    <w:rsid w:val="00A5243C"/>
    <w:rsid w:val="00A57160"/>
    <w:rsid w:val="00A60D6D"/>
    <w:rsid w:val="00A61554"/>
    <w:rsid w:val="00A62282"/>
    <w:rsid w:val="00A62C10"/>
    <w:rsid w:val="00A62E5C"/>
    <w:rsid w:val="00A86007"/>
    <w:rsid w:val="00A86186"/>
    <w:rsid w:val="00A9118F"/>
    <w:rsid w:val="00AA3503"/>
    <w:rsid w:val="00AA7281"/>
    <w:rsid w:val="00AB0A0A"/>
    <w:rsid w:val="00AB1E3C"/>
    <w:rsid w:val="00AB2916"/>
    <w:rsid w:val="00AB3B2F"/>
    <w:rsid w:val="00AB485C"/>
    <w:rsid w:val="00AC1681"/>
    <w:rsid w:val="00AC4CED"/>
    <w:rsid w:val="00AC6EF4"/>
    <w:rsid w:val="00AD202C"/>
    <w:rsid w:val="00AD57A3"/>
    <w:rsid w:val="00AE06DF"/>
    <w:rsid w:val="00AF2032"/>
    <w:rsid w:val="00AF41DD"/>
    <w:rsid w:val="00AF4B07"/>
    <w:rsid w:val="00AF4D1F"/>
    <w:rsid w:val="00AF5F7C"/>
    <w:rsid w:val="00B03429"/>
    <w:rsid w:val="00B060AE"/>
    <w:rsid w:val="00B06382"/>
    <w:rsid w:val="00B11DAF"/>
    <w:rsid w:val="00B12732"/>
    <w:rsid w:val="00B13D53"/>
    <w:rsid w:val="00B15CE8"/>
    <w:rsid w:val="00B2012F"/>
    <w:rsid w:val="00B22EF5"/>
    <w:rsid w:val="00B27FFD"/>
    <w:rsid w:val="00B307C7"/>
    <w:rsid w:val="00B3105B"/>
    <w:rsid w:val="00B35DF9"/>
    <w:rsid w:val="00B35E01"/>
    <w:rsid w:val="00B40BBE"/>
    <w:rsid w:val="00B42818"/>
    <w:rsid w:val="00B4522E"/>
    <w:rsid w:val="00B463C7"/>
    <w:rsid w:val="00B50BBE"/>
    <w:rsid w:val="00B57847"/>
    <w:rsid w:val="00B743B2"/>
    <w:rsid w:val="00B76789"/>
    <w:rsid w:val="00B77210"/>
    <w:rsid w:val="00B7763D"/>
    <w:rsid w:val="00B833BE"/>
    <w:rsid w:val="00B86141"/>
    <w:rsid w:val="00B904C0"/>
    <w:rsid w:val="00B90764"/>
    <w:rsid w:val="00B95C09"/>
    <w:rsid w:val="00B9773D"/>
    <w:rsid w:val="00BA6347"/>
    <w:rsid w:val="00BA7436"/>
    <w:rsid w:val="00BB04E0"/>
    <w:rsid w:val="00BC2200"/>
    <w:rsid w:val="00BC23CF"/>
    <w:rsid w:val="00BC2494"/>
    <w:rsid w:val="00BC78F6"/>
    <w:rsid w:val="00BD136C"/>
    <w:rsid w:val="00BD7B96"/>
    <w:rsid w:val="00BE1BB7"/>
    <w:rsid w:val="00BE2E94"/>
    <w:rsid w:val="00BE3103"/>
    <w:rsid w:val="00BE5809"/>
    <w:rsid w:val="00BE588E"/>
    <w:rsid w:val="00BE7B71"/>
    <w:rsid w:val="00BF42EA"/>
    <w:rsid w:val="00BF6119"/>
    <w:rsid w:val="00C03AF4"/>
    <w:rsid w:val="00C060E7"/>
    <w:rsid w:val="00C06A05"/>
    <w:rsid w:val="00C07190"/>
    <w:rsid w:val="00C12533"/>
    <w:rsid w:val="00C13773"/>
    <w:rsid w:val="00C2009F"/>
    <w:rsid w:val="00C20E13"/>
    <w:rsid w:val="00C244A8"/>
    <w:rsid w:val="00C327AE"/>
    <w:rsid w:val="00C32CFE"/>
    <w:rsid w:val="00C32DC1"/>
    <w:rsid w:val="00C33989"/>
    <w:rsid w:val="00C34CE5"/>
    <w:rsid w:val="00C372A3"/>
    <w:rsid w:val="00C43153"/>
    <w:rsid w:val="00C468F5"/>
    <w:rsid w:val="00C50D79"/>
    <w:rsid w:val="00C5210D"/>
    <w:rsid w:val="00C52618"/>
    <w:rsid w:val="00C546D3"/>
    <w:rsid w:val="00C54B0B"/>
    <w:rsid w:val="00C65337"/>
    <w:rsid w:val="00C66236"/>
    <w:rsid w:val="00C828B7"/>
    <w:rsid w:val="00C84173"/>
    <w:rsid w:val="00C90FD6"/>
    <w:rsid w:val="00C91CE3"/>
    <w:rsid w:val="00C94B86"/>
    <w:rsid w:val="00C974F7"/>
    <w:rsid w:val="00CA644E"/>
    <w:rsid w:val="00CA72EB"/>
    <w:rsid w:val="00CA7A64"/>
    <w:rsid w:val="00CB0DAE"/>
    <w:rsid w:val="00CB25EC"/>
    <w:rsid w:val="00CB5499"/>
    <w:rsid w:val="00CB5724"/>
    <w:rsid w:val="00CB79E7"/>
    <w:rsid w:val="00CC3FC0"/>
    <w:rsid w:val="00CC44FC"/>
    <w:rsid w:val="00CC5BFC"/>
    <w:rsid w:val="00CC64E8"/>
    <w:rsid w:val="00CC708F"/>
    <w:rsid w:val="00CC7C8B"/>
    <w:rsid w:val="00CC7DAF"/>
    <w:rsid w:val="00CD3F65"/>
    <w:rsid w:val="00CD558D"/>
    <w:rsid w:val="00CE2D54"/>
    <w:rsid w:val="00CE367B"/>
    <w:rsid w:val="00CE3781"/>
    <w:rsid w:val="00CE37A5"/>
    <w:rsid w:val="00CE3C94"/>
    <w:rsid w:val="00CE47F6"/>
    <w:rsid w:val="00CF7369"/>
    <w:rsid w:val="00D0287A"/>
    <w:rsid w:val="00D049F9"/>
    <w:rsid w:val="00D067FC"/>
    <w:rsid w:val="00D114BC"/>
    <w:rsid w:val="00D13EFD"/>
    <w:rsid w:val="00D14C2F"/>
    <w:rsid w:val="00D2501E"/>
    <w:rsid w:val="00D255AB"/>
    <w:rsid w:val="00D27351"/>
    <w:rsid w:val="00D32E6C"/>
    <w:rsid w:val="00D345F5"/>
    <w:rsid w:val="00D34A2A"/>
    <w:rsid w:val="00D366D5"/>
    <w:rsid w:val="00D4230D"/>
    <w:rsid w:val="00D55DF2"/>
    <w:rsid w:val="00D6185C"/>
    <w:rsid w:val="00D63604"/>
    <w:rsid w:val="00D72BEB"/>
    <w:rsid w:val="00D72C5A"/>
    <w:rsid w:val="00D76D8E"/>
    <w:rsid w:val="00D86589"/>
    <w:rsid w:val="00D878DB"/>
    <w:rsid w:val="00D904F5"/>
    <w:rsid w:val="00D913B7"/>
    <w:rsid w:val="00D93D79"/>
    <w:rsid w:val="00D9635F"/>
    <w:rsid w:val="00DA4029"/>
    <w:rsid w:val="00DB21F8"/>
    <w:rsid w:val="00DB241E"/>
    <w:rsid w:val="00DC76DD"/>
    <w:rsid w:val="00DE097E"/>
    <w:rsid w:val="00DE0B7A"/>
    <w:rsid w:val="00DE1C7A"/>
    <w:rsid w:val="00DE455C"/>
    <w:rsid w:val="00E10E4B"/>
    <w:rsid w:val="00E11B4B"/>
    <w:rsid w:val="00E1456C"/>
    <w:rsid w:val="00E212B6"/>
    <w:rsid w:val="00E26C3A"/>
    <w:rsid w:val="00E30F5E"/>
    <w:rsid w:val="00E337F1"/>
    <w:rsid w:val="00E426CE"/>
    <w:rsid w:val="00E43BC5"/>
    <w:rsid w:val="00E46053"/>
    <w:rsid w:val="00E52EF1"/>
    <w:rsid w:val="00E57E96"/>
    <w:rsid w:val="00E6135A"/>
    <w:rsid w:val="00E64EDD"/>
    <w:rsid w:val="00E7543C"/>
    <w:rsid w:val="00E81772"/>
    <w:rsid w:val="00E85383"/>
    <w:rsid w:val="00E86DBA"/>
    <w:rsid w:val="00E86EB5"/>
    <w:rsid w:val="00E87336"/>
    <w:rsid w:val="00E91BD1"/>
    <w:rsid w:val="00EA0D71"/>
    <w:rsid w:val="00EA274A"/>
    <w:rsid w:val="00EA2BF4"/>
    <w:rsid w:val="00EA5647"/>
    <w:rsid w:val="00EA680E"/>
    <w:rsid w:val="00EB17D4"/>
    <w:rsid w:val="00EB475C"/>
    <w:rsid w:val="00EB5815"/>
    <w:rsid w:val="00EC0839"/>
    <w:rsid w:val="00EC6FF5"/>
    <w:rsid w:val="00ED31AA"/>
    <w:rsid w:val="00ED4779"/>
    <w:rsid w:val="00ED55B2"/>
    <w:rsid w:val="00EE0A86"/>
    <w:rsid w:val="00EE2B21"/>
    <w:rsid w:val="00EF2C66"/>
    <w:rsid w:val="00EF39BA"/>
    <w:rsid w:val="00EF3EF5"/>
    <w:rsid w:val="00EF5174"/>
    <w:rsid w:val="00EF64EE"/>
    <w:rsid w:val="00F00543"/>
    <w:rsid w:val="00F00F1F"/>
    <w:rsid w:val="00F02927"/>
    <w:rsid w:val="00F0451F"/>
    <w:rsid w:val="00F23C12"/>
    <w:rsid w:val="00F23DAE"/>
    <w:rsid w:val="00F23DF6"/>
    <w:rsid w:val="00F24E86"/>
    <w:rsid w:val="00F26DF9"/>
    <w:rsid w:val="00F35DF2"/>
    <w:rsid w:val="00F35FB6"/>
    <w:rsid w:val="00F3696F"/>
    <w:rsid w:val="00F41038"/>
    <w:rsid w:val="00F412AC"/>
    <w:rsid w:val="00F57E3C"/>
    <w:rsid w:val="00F6017C"/>
    <w:rsid w:val="00F6019F"/>
    <w:rsid w:val="00F605BE"/>
    <w:rsid w:val="00F6363E"/>
    <w:rsid w:val="00F63EEF"/>
    <w:rsid w:val="00F64D36"/>
    <w:rsid w:val="00F70006"/>
    <w:rsid w:val="00F70A2B"/>
    <w:rsid w:val="00F73C7B"/>
    <w:rsid w:val="00F74F8C"/>
    <w:rsid w:val="00F81D13"/>
    <w:rsid w:val="00F9298D"/>
    <w:rsid w:val="00FA08AE"/>
    <w:rsid w:val="00FA1571"/>
    <w:rsid w:val="00FA4F9D"/>
    <w:rsid w:val="00FA7E96"/>
    <w:rsid w:val="00FB79B4"/>
    <w:rsid w:val="00FC4096"/>
    <w:rsid w:val="00FC6566"/>
    <w:rsid w:val="00FC7BE5"/>
    <w:rsid w:val="00FC7DF9"/>
    <w:rsid w:val="00FD42A2"/>
    <w:rsid w:val="00FD7515"/>
    <w:rsid w:val="00FE28FF"/>
    <w:rsid w:val="00FE31B5"/>
    <w:rsid w:val="00FE50C2"/>
    <w:rsid w:val="00FE5E60"/>
    <w:rsid w:val="00FF169F"/>
    <w:rsid w:val="00FF57F3"/>
    <w:rsid w:val="00FF653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F6A144"/>
  <w15:docId w15:val="{8683E84A-7247-4B31-9510-10F4E3FF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MS Mincho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character" w:customStyle="1" w:styleId="a4">
    <w:name w:val="Знак Знак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pPr>
      <w:spacing w:after="120"/>
    </w:pPr>
    <w:rPr>
      <w:lang w:val="ru-RU"/>
    </w:rPr>
  </w:style>
  <w:style w:type="paragraph" w:styleId="a6">
    <w:name w:val="List"/>
    <w:basedOn w:val="a5"/>
    <w:rPr>
      <w:rFonts w:cs="Tahoma"/>
    </w:rPr>
  </w:style>
  <w:style w:type="paragraph" w:styleId="a7">
    <w:name w:val="Title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pPr>
      <w:ind w:left="720"/>
    </w:pPr>
    <w:rPr>
      <w:lang w:val="ru-RU"/>
    </w:rPr>
  </w:style>
  <w:style w:type="paragraph" w:customStyle="1" w:styleId="ab">
    <w:name w:val="Знак"/>
    <w:basedOn w:val="a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Вміст таблиці"/>
    <w:basedOn w:val="a5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12292</Words>
  <Characters>7008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Фолюш Роксолана</cp:lastModifiedBy>
  <cp:revision>11</cp:revision>
  <cp:lastPrinted>2018-07-19T08:46:00Z</cp:lastPrinted>
  <dcterms:created xsi:type="dcterms:W3CDTF">2017-08-03T08:13:00Z</dcterms:created>
  <dcterms:modified xsi:type="dcterms:W3CDTF">2018-07-19T08:47:00Z</dcterms:modified>
</cp:coreProperties>
</file>